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FEC" w:rsidRDefault="000B1FEC">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5" w:history="1">
        <w:r>
          <w:rPr>
            <w:rFonts w:ascii="Calibri" w:hAnsi="Calibri" w:cs="Calibri"/>
            <w:color w:val="0000FF"/>
          </w:rPr>
          <w:t>КонсультантПлюс</w:t>
        </w:r>
      </w:hyperlink>
      <w:r>
        <w:rPr>
          <w:rFonts w:ascii="Calibri" w:hAnsi="Calibri" w:cs="Calibri"/>
        </w:rPr>
        <w:br/>
      </w:r>
    </w:p>
    <w:p w:rsidR="000B1FEC" w:rsidRDefault="000B1FEC">
      <w:pPr>
        <w:widowControl w:val="0"/>
        <w:autoSpaceDE w:val="0"/>
        <w:autoSpaceDN w:val="0"/>
        <w:adjustRightInd w:val="0"/>
        <w:spacing w:after="0" w:line="240" w:lineRule="auto"/>
        <w:jc w:val="both"/>
        <w:outlineLvl w:val="0"/>
        <w:rPr>
          <w:rFonts w:ascii="Calibri" w:hAnsi="Calibri" w:cs="Calibri"/>
        </w:rPr>
      </w:pPr>
    </w:p>
    <w:p w:rsidR="000B1FEC" w:rsidRDefault="000B1FEC">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Pr>
          <w:rFonts w:ascii="Calibri" w:hAnsi="Calibri" w:cs="Calibri"/>
          <w:b/>
          <w:bCs/>
        </w:rPr>
        <w:t>МИНИСТЕРСТВО ЭКОНОМИЧЕСКОГО РАЗВИТИЯ РОССИЙСКОЙ ФЕДЕРАЦИИ</w:t>
      </w:r>
    </w:p>
    <w:p w:rsidR="000B1FEC" w:rsidRDefault="000B1FEC">
      <w:pPr>
        <w:widowControl w:val="0"/>
        <w:autoSpaceDE w:val="0"/>
        <w:autoSpaceDN w:val="0"/>
        <w:adjustRightInd w:val="0"/>
        <w:spacing w:after="0" w:line="240" w:lineRule="auto"/>
        <w:jc w:val="center"/>
        <w:rPr>
          <w:rFonts w:ascii="Calibri" w:hAnsi="Calibri" w:cs="Calibri"/>
          <w:b/>
          <w:bCs/>
        </w:rPr>
      </w:pPr>
    </w:p>
    <w:p w:rsidR="000B1FEC" w:rsidRDefault="000B1FE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0B1FEC" w:rsidRDefault="000B1FE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25 сентября 2014 г. N 611</w:t>
      </w:r>
    </w:p>
    <w:p w:rsidR="000B1FEC" w:rsidRDefault="000B1FEC">
      <w:pPr>
        <w:widowControl w:val="0"/>
        <w:autoSpaceDE w:val="0"/>
        <w:autoSpaceDN w:val="0"/>
        <w:adjustRightInd w:val="0"/>
        <w:spacing w:after="0" w:line="240" w:lineRule="auto"/>
        <w:jc w:val="center"/>
        <w:rPr>
          <w:rFonts w:ascii="Calibri" w:hAnsi="Calibri" w:cs="Calibri"/>
          <w:b/>
          <w:bCs/>
        </w:rPr>
      </w:pPr>
    </w:p>
    <w:p w:rsidR="000B1FEC" w:rsidRDefault="000B1FE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ФЕДЕРАЛЬНОГО СТАНДАРТА</w:t>
      </w:r>
    </w:p>
    <w:p w:rsidR="000B1FEC" w:rsidRDefault="000B1FE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ОЦЕНКИ "ОЦЕНКА НЕДВИЖИМОСТИ (ФСО N 7)"</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со </w:t>
      </w:r>
      <w:hyperlink r:id="rId6" w:history="1">
        <w:r>
          <w:rPr>
            <w:rFonts w:ascii="Calibri" w:hAnsi="Calibri" w:cs="Calibri"/>
            <w:color w:val="0000FF"/>
          </w:rPr>
          <w:t>статьей 20</w:t>
        </w:r>
      </w:hyperlink>
      <w:r>
        <w:rPr>
          <w:rFonts w:ascii="Calibri" w:hAnsi="Calibri" w:cs="Calibri"/>
        </w:rPr>
        <w:t xml:space="preserve"> Федерального закона от 29 июля 1998 г. N 135-ФЗ "Об оценочной деятельности в Российской Федерации" (Собрание законодательства Российской Федерации, 1998, N 31, ст. 3813; 2006, N 31, ст. 3456; 2010, N 30, ст. 3998; 2011, N 1, ст. 43; N 29, ст. 4291; 2014, N 30, ст. 4226) приказываю:</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Утвердить прилагаемый Федеральный </w:t>
      </w:r>
      <w:hyperlink w:anchor="Par23" w:history="1">
        <w:r>
          <w:rPr>
            <w:rFonts w:ascii="Calibri" w:hAnsi="Calibri" w:cs="Calibri"/>
            <w:color w:val="0000FF"/>
          </w:rPr>
          <w:t>стандарт</w:t>
        </w:r>
      </w:hyperlink>
      <w:r>
        <w:rPr>
          <w:rFonts w:ascii="Calibri" w:hAnsi="Calibri" w:cs="Calibri"/>
        </w:rPr>
        <w:t xml:space="preserve"> оценки "Оценка недвижимости (ФСО N 7)".</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right"/>
        <w:rPr>
          <w:rFonts w:ascii="Calibri" w:hAnsi="Calibri" w:cs="Calibri"/>
        </w:rPr>
      </w:pPr>
      <w:r>
        <w:rPr>
          <w:rFonts w:ascii="Calibri" w:hAnsi="Calibri" w:cs="Calibri"/>
        </w:rPr>
        <w:t>Министр</w:t>
      </w:r>
    </w:p>
    <w:p w:rsidR="000B1FEC" w:rsidRDefault="000B1FEC">
      <w:pPr>
        <w:widowControl w:val="0"/>
        <w:autoSpaceDE w:val="0"/>
        <w:autoSpaceDN w:val="0"/>
        <w:adjustRightInd w:val="0"/>
        <w:spacing w:after="0" w:line="240" w:lineRule="auto"/>
        <w:jc w:val="right"/>
        <w:rPr>
          <w:rFonts w:ascii="Calibri" w:hAnsi="Calibri" w:cs="Calibri"/>
        </w:rPr>
      </w:pPr>
      <w:r>
        <w:rPr>
          <w:rFonts w:ascii="Calibri" w:hAnsi="Calibri" w:cs="Calibri"/>
        </w:rPr>
        <w:t>А.В.УЛЮКАЕВ</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right"/>
        <w:outlineLvl w:val="0"/>
        <w:rPr>
          <w:rFonts w:ascii="Calibri" w:hAnsi="Calibri" w:cs="Calibri"/>
        </w:rPr>
      </w:pPr>
      <w:bookmarkStart w:id="1" w:name="Par19"/>
      <w:bookmarkEnd w:id="1"/>
      <w:r>
        <w:rPr>
          <w:rFonts w:ascii="Calibri" w:hAnsi="Calibri" w:cs="Calibri"/>
        </w:rPr>
        <w:t>Утвержден</w:t>
      </w:r>
    </w:p>
    <w:p w:rsidR="000B1FEC" w:rsidRDefault="000B1FEC">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Минэкономразвития России</w:t>
      </w:r>
    </w:p>
    <w:p w:rsidR="000B1FEC" w:rsidRDefault="000B1FEC">
      <w:pPr>
        <w:widowControl w:val="0"/>
        <w:autoSpaceDE w:val="0"/>
        <w:autoSpaceDN w:val="0"/>
        <w:adjustRightInd w:val="0"/>
        <w:spacing w:after="0" w:line="240" w:lineRule="auto"/>
        <w:jc w:val="right"/>
        <w:rPr>
          <w:rFonts w:ascii="Calibri" w:hAnsi="Calibri" w:cs="Calibri"/>
        </w:rPr>
      </w:pPr>
      <w:r>
        <w:rPr>
          <w:rFonts w:ascii="Calibri" w:hAnsi="Calibri" w:cs="Calibri"/>
        </w:rPr>
        <w:t>от 25.09.2014 N 611</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center"/>
        <w:rPr>
          <w:rFonts w:ascii="Calibri" w:hAnsi="Calibri" w:cs="Calibri"/>
          <w:b/>
          <w:bCs/>
        </w:rPr>
      </w:pPr>
      <w:bookmarkStart w:id="2" w:name="Par23"/>
      <w:bookmarkEnd w:id="2"/>
      <w:r>
        <w:rPr>
          <w:rFonts w:ascii="Calibri" w:hAnsi="Calibri" w:cs="Calibri"/>
          <w:b/>
          <w:bCs/>
        </w:rPr>
        <w:t>ФЕДЕРАЛЬНЫЙ СТАНДАРТ ОЦЕНКИ "ОЦЕНКА НЕДВИЖИМОСТИ (ФСО N 7)"</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center"/>
        <w:outlineLvl w:val="1"/>
        <w:rPr>
          <w:rFonts w:ascii="Calibri" w:hAnsi="Calibri" w:cs="Calibri"/>
        </w:rPr>
      </w:pPr>
      <w:bookmarkStart w:id="3" w:name="Par25"/>
      <w:bookmarkEnd w:id="3"/>
      <w:r>
        <w:rPr>
          <w:rFonts w:ascii="Calibri" w:hAnsi="Calibri" w:cs="Calibri"/>
        </w:rPr>
        <w:t>I. Общие положения</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Федеральный стандарт оценки разработан с учетом международных стандартов оценки и федеральных стандартов оценки "Общие понятия оценки, подходы к оценке и требования к проведению оценки </w:t>
      </w:r>
      <w:hyperlink r:id="rId7" w:history="1">
        <w:r>
          <w:rPr>
            <w:rFonts w:ascii="Calibri" w:hAnsi="Calibri" w:cs="Calibri"/>
            <w:color w:val="0000FF"/>
          </w:rPr>
          <w:t>(ФСО N 1)</w:t>
        </w:r>
      </w:hyperlink>
      <w:r>
        <w:rPr>
          <w:rFonts w:ascii="Calibri" w:hAnsi="Calibri" w:cs="Calibri"/>
        </w:rPr>
        <w:t xml:space="preserve">", "Цель оценки и виды стоимости </w:t>
      </w:r>
      <w:hyperlink r:id="rId8" w:history="1">
        <w:r>
          <w:rPr>
            <w:rFonts w:ascii="Calibri" w:hAnsi="Calibri" w:cs="Calibri"/>
            <w:color w:val="0000FF"/>
          </w:rPr>
          <w:t>(ФСО N 2)</w:t>
        </w:r>
      </w:hyperlink>
      <w:r>
        <w:rPr>
          <w:rFonts w:ascii="Calibri" w:hAnsi="Calibri" w:cs="Calibri"/>
        </w:rPr>
        <w:t xml:space="preserve">", "Требования к отчету об оценке </w:t>
      </w:r>
      <w:hyperlink r:id="rId9" w:history="1">
        <w:r>
          <w:rPr>
            <w:rFonts w:ascii="Calibri" w:hAnsi="Calibri" w:cs="Calibri"/>
            <w:color w:val="0000FF"/>
          </w:rPr>
          <w:t>(ФСО N 3)</w:t>
        </w:r>
      </w:hyperlink>
      <w:r>
        <w:rPr>
          <w:rFonts w:ascii="Calibri" w:hAnsi="Calibri" w:cs="Calibri"/>
        </w:rPr>
        <w:t>" (далее соответственно - ФСО N 1, ФСО N 2, ФСО N 3) и определяет требования к проведению оценки недвижимости.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Настоящий Федеральный стандарт оценки развивает, дополняет и конкретизирует требования и процедуры, установленные </w:t>
      </w:r>
      <w:hyperlink r:id="rId10" w:history="1">
        <w:r>
          <w:rPr>
            <w:rFonts w:ascii="Calibri" w:hAnsi="Calibri" w:cs="Calibri"/>
            <w:color w:val="0000FF"/>
          </w:rPr>
          <w:t>ФСО N 1</w:t>
        </w:r>
      </w:hyperlink>
      <w:r>
        <w:rPr>
          <w:rFonts w:ascii="Calibri" w:hAnsi="Calibri" w:cs="Calibri"/>
        </w:rPr>
        <w:t xml:space="preserve">, </w:t>
      </w:r>
      <w:hyperlink r:id="rId11" w:history="1">
        <w:r>
          <w:rPr>
            <w:rFonts w:ascii="Calibri" w:hAnsi="Calibri" w:cs="Calibri"/>
            <w:color w:val="0000FF"/>
          </w:rPr>
          <w:t>ФСО N 2</w:t>
        </w:r>
      </w:hyperlink>
      <w:r>
        <w:rPr>
          <w:rFonts w:ascii="Calibri" w:hAnsi="Calibri" w:cs="Calibri"/>
        </w:rPr>
        <w:t xml:space="preserve">, </w:t>
      </w:r>
      <w:hyperlink r:id="rId12" w:history="1">
        <w:r>
          <w:rPr>
            <w:rFonts w:ascii="Calibri" w:hAnsi="Calibri" w:cs="Calibri"/>
            <w:color w:val="0000FF"/>
          </w:rPr>
          <w:t>ФСО N 3</w:t>
        </w:r>
      </w:hyperlink>
      <w:r>
        <w:rPr>
          <w:rFonts w:ascii="Calibri" w:hAnsi="Calibri" w:cs="Calibri"/>
        </w:rPr>
        <w:t>, и является обязательным к применению при оценке недвижимости.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Положения настоящего Федерального стандарта оценки не распространяются на оценку подлежащих государственной регистрации воздушных и морских судов, судов внутреннего плавания, космических объектов, участков недр, предприятий как имущественных комплексов, а также на определение кадастровой стоимости объектов недвижимости методами массовой оценки.</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center"/>
        <w:outlineLvl w:val="1"/>
        <w:rPr>
          <w:rFonts w:ascii="Calibri" w:hAnsi="Calibri" w:cs="Calibri"/>
        </w:rPr>
      </w:pPr>
      <w:bookmarkStart w:id="4" w:name="Par31"/>
      <w:bookmarkEnd w:id="4"/>
      <w:r>
        <w:rPr>
          <w:rFonts w:ascii="Calibri" w:hAnsi="Calibri" w:cs="Calibri"/>
        </w:rPr>
        <w:t>II. Объекты оценки</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Для целей настоящего Федерального стандарта объектами оценки могут выступать объекты недвижимости - застроенные земельные участки, незастроенные земельные участки, объекты капитального строительства, а также части земельных участков и объектов капитального строительства, жилые и нежилые помещения, вместе или по отдельности, с учетом связанных с ними имущественных прав, если это не противоречит действующему законодательству. Для целей настоящего Федерального стандарта объектами оценки могут выступать доли в праве на объект </w:t>
      </w:r>
      <w:r>
        <w:rPr>
          <w:rFonts w:ascii="Calibri" w:hAnsi="Calibri" w:cs="Calibri"/>
        </w:rPr>
        <w:lastRenderedPageBreak/>
        <w:t>недвижимости.</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center"/>
        <w:outlineLvl w:val="1"/>
        <w:rPr>
          <w:rFonts w:ascii="Calibri" w:hAnsi="Calibri" w:cs="Calibri"/>
        </w:rPr>
      </w:pPr>
      <w:bookmarkStart w:id="5" w:name="Par35"/>
      <w:bookmarkEnd w:id="5"/>
      <w:r>
        <w:rPr>
          <w:rFonts w:ascii="Calibri" w:hAnsi="Calibri" w:cs="Calibri"/>
        </w:rPr>
        <w:t>III. Общие требования к проведению оценки</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сборе информации об оцениваемом объекте недвижимости оценщик или его представитель проводит осмотр объекта оценки в период, возможно близкий к дате оценки, если в задании на оценку не указано иное. В случае непроведения осмотра оценщик указывает в отчете об оценке причины, по которым объект оценки не осмотрен, а также допущения и ограничения, связанные с непроведением осмотра.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Совместная оценка земельного участка и находящихся на нем объектов капитального строительства при отсутствии правоустанавливающих и правоподтверждающих документов на земельный участок проводится с учетом установленных действующим законодательством прав и обязанностей собственника объектов капитального строительства в отношении земельного участка, а также типичного на рассматриваемом рынке поведения собственников в отношении аналогичного земельного участка (выкуп или аренда).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отсутствие документально подтвержденных имущественных прав третьих лиц в отношении оцениваемого объекта недвижимости, ограничений (обременений), а также экологического загрязнения оценка объекта проводится исходя из предположения об отсутствии таких прав, ограничений (обременений) и загрязнений с учетом обстоятельств, выявленных в процессе осмотра, если в задании на оценку не указано иное.</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center"/>
        <w:outlineLvl w:val="1"/>
        <w:rPr>
          <w:rFonts w:ascii="Calibri" w:hAnsi="Calibri" w:cs="Calibri"/>
        </w:rPr>
      </w:pPr>
      <w:bookmarkStart w:id="6" w:name="Par41"/>
      <w:bookmarkEnd w:id="6"/>
      <w:r>
        <w:rPr>
          <w:rFonts w:ascii="Calibri" w:hAnsi="Calibri" w:cs="Calibri"/>
        </w:rPr>
        <w:t>IV. Задание на оценку</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Задание на оценку объекта недвижимости должно содержать следующую дополнительную к указанной в </w:t>
      </w:r>
      <w:hyperlink r:id="rId13" w:history="1">
        <w:r>
          <w:rPr>
            <w:rFonts w:ascii="Calibri" w:hAnsi="Calibri" w:cs="Calibri"/>
            <w:color w:val="0000FF"/>
          </w:rPr>
          <w:t>пункте 17</w:t>
        </w:r>
      </w:hyperlink>
      <w:r>
        <w:rPr>
          <w:rFonts w:ascii="Calibri" w:hAnsi="Calibri" w:cs="Calibri"/>
        </w:rPr>
        <w:t xml:space="preserve"> ФСО N 1 информацию:</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объекта оценки с указанием сведений, достаточных для идентификации каждой из его частей (при наличии);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характеристики объекта оценки и его оцениваемых частей или ссылки на доступные для оценщика документы, содержащие такие характеристики;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права, учитываемые при оценке объекта оценки, ограничения (обременения) этих прав, в том числе в отношении каждой из частей объекта оценки.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задании на оценку могут быть указаны иные расчетные величины, в том числе:</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рыночная арендная плата (расчетная денежная сумма, за которую объект недвижимости может быть сдан в аренду на дату оценки при типичных рыночных условиях);</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затраты на создание (воспроизводство или замещение) объектов капитального строительства;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убытки (реальный ущерб, упущенная выгода) при отчуждении объекта недвижимости, а также в иных случаях;</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затраты на устранение экологического загрязнения и (или) рекультивацию земельного участка.</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center"/>
        <w:outlineLvl w:val="1"/>
        <w:rPr>
          <w:rFonts w:ascii="Calibri" w:hAnsi="Calibri" w:cs="Calibri"/>
        </w:rPr>
      </w:pPr>
      <w:bookmarkStart w:id="7" w:name="Par53"/>
      <w:bookmarkEnd w:id="7"/>
      <w:r>
        <w:rPr>
          <w:rFonts w:ascii="Calibri" w:hAnsi="Calibri" w:cs="Calibri"/>
        </w:rPr>
        <w:t>V. Анализ рынка</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Для определения стоимости недвижимости оценщик исследует рынок в тех его сегментах, к которым относятся фактическое использование оцениваемого объекта и другие виды использования, необходимые для определения его стоимости.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Анализ рынка недвижимости выполняется в следующей последовательности: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анализ влияния общей политической и социально-экономической обстановки в стране и регионе расположения объекта оценки на рынок оцениваемого объекта, в том числе тенденций, наметившихся на рынке, в период, предшествующий дате оценки;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определение сегмента рынка, к которому принадлежит оцениваемый объект. Если рынок недвижимости неразвит и данных, позволяющих составить представление о ценах сделок и (или) предложений с сопоставимыми объектами недвижимости, недостаточно, допускается расширить территорию исследования за счет территорий, схожих по экономическим характеристикам с </w:t>
      </w:r>
      <w:r>
        <w:rPr>
          <w:rFonts w:ascii="Calibri" w:hAnsi="Calibri" w:cs="Calibri"/>
        </w:rPr>
        <w:lastRenderedPageBreak/>
        <w:t>местоположением оцениваемого объекта;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анализ фактических данных о ценах сделок и (или) предложений с объектами недвижимости из сегментов рынка, к которым может быть отнесен оцениваемый объект при фактическом, а также при альтернативных вариантах его использования, с указанием интервала значений цен;</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анализ основных факторов, влияющих на спрос, предложение и цены сопоставимых объектов недвижимости, например ставки доходности, периоды окупаемости инвестиций на рынке недвижимости, с приведением интервалов значений этих факторов;</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основные выводы относительно рынка недвижимости в сегментах, необходимых для оценки объекта, например динамика рынка, спрос, предложение, объем продаж, емкость рынка, мотивации покупателей и продавцов, ликвидность, колебания цен на рынке оцениваемого объекта и другие выводы.</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исследований определяется оценщиком исходя из принципа достаточности.</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center"/>
        <w:outlineLvl w:val="1"/>
        <w:rPr>
          <w:rFonts w:ascii="Calibri" w:hAnsi="Calibri" w:cs="Calibri"/>
        </w:rPr>
      </w:pPr>
      <w:bookmarkStart w:id="8" w:name="Par64"/>
      <w:bookmarkEnd w:id="8"/>
      <w:r>
        <w:rPr>
          <w:rFonts w:ascii="Calibri" w:hAnsi="Calibri" w:cs="Calibri"/>
        </w:rPr>
        <w:t>VI. Анализ наиболее эффективного использования</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Анализ наиболее эффективного использования лежит в основе оценок рыночной стоимости недвижимости.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Наиболее эффективное использование представляет собой такое использование недвижимости, которое максимизирует ее продуктивность (соответствует ее наибольшей стоимости) и которое физически возможно, юридически разрешено (на дату определения стоимости объекта оценки) и финансово оправдано.</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Наиболее эффективное использование объекта недвижимости может соответствовать его фактическому использованию или предполагать иное использование, например ремонт (или реконструкцию) имеющихся на земельном участке объектов капитального строительства.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Анализ наиболее эффективного использования позволяет выявить наиболее прибыльное использование объекта недвижимости, на который ориентируются участники рынка (покупатели и продавцы) при формировании цены сделки. При определении рыночной стоимости оценщик руководствуется результатами этого анализа для выбора подходов и методов оценки объекта оценки и выбора сопоставимых объектов недвижимости при применении каждого подхода.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Анализ наиболее эффективного использования объекта оценки проводится, как правило, по объемно-планировочным и конструктивным решениям. Для объектов оценки, включающих в себя земельный участок и объекты капитального строительства, наиболее эффективное использование определяется с учетом имеющихся объектов капитального строительства. При этом такой анализ выполняется путем проведения необходимых для этого вычислений либо без них, если представлены обоснования, не требующие расчетов.</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Анализ наиболее эффективного использования частей объекта недвижимости, например встроенных жилых и нежилых помещений, проводится с учетом фактического использования других частей этого объекта.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Анализ наиболее эффективного использования части реконструируемого или подлежащего реконструкции объекта недвижимости проводится с учетом наиболее эффективного использования всего реконструируемого объекта недвижимости.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Наиболее эффективное использование объекта недвижимости, оцениваемого в отдельности, может отличаться от его наиболее эффективного использования в составе оцениваемого комплекса объектов недвижимости.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Рыночная стоимость земельного участка, застроенного объектами капитального строительства, или объектов капитального строительства для внесения этой стоимости в государственный кадастр недвижимости оценивается исходя из вида фактического использования оцениваемого объекта. При этом застроенный земельный участок оценивается как незастроенный, предназначенный для использования в соответствии с видом его фактического использования.</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Анализ наиболее эффективного использования объекта недвижимости для сдачи в аренду выполняется с учетом условий использования этого объекта, устанавливаемых договором аренды или проектом такого договора.</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center"/>
        <w:outlineLvl w:val="1"/>
        <w:rPr>
          <w:rFonts w:ascii="Calibri" w:hAnsi="Calibri" w:cs="Calibri"/>
        </w:rPr>
      </w:pPr>
      <w:bookmarkStart w:id="9" w:name="Par77"/>
      <w:bookmarkEnd w:id="9"/>
      <w:r>
        <w:rPr>
          <w:rFonts w:ascii="Calibri" w:hAnsi="Calibri" w:cs="Calibri"/>
        </w:rPr>
        <w:t>VII. Подходы к оценке</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При применении сравнительного подхода к оценке недвижимости оценщик учитывает следующие положения:</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сравнительный подход применяется для оценки недвижимости, когда можно подобрать достаточное для оценки количество объектов-аналогов с известными ценами сделок и (или) предложений;</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в качестве объектов-аналогов используются объекты недвижимости, которые относятся к одному с оцениваемым объектом сегменту рынка и сопоставимы с ним по ценообразующим факторам. При этом для всех объектов недвижимости, включая оцениваемый, ценообразование по каждому из указанных факторов должно быть единообразным;</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при проведении оценки должны быть описаны объем доступных оценщику рыночных данных об объектах-аналогах и правила их отбора для проведения расчетов. Использование в расчетах лишь части доступных оценщику объектов-аналогов должно быть обосновано в отчете об оценке;</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для выполнения расчетов используются типичные для аналогичного объекта сложившиеся на рынке оцениваемого объекта удельные показатели стоимости (единицы сравнения), в частности цена или арендная плата за единицу площади или единицу объема;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в зависимости от имеющейся на рынке исходной информации в процессе оценки недвижимости могут использоваться качественные методы оценки (относительный сравнительный анализ, метод экспертных оценок и другие методы), количественные методы оценки (метод регрессионного анализа, метод количественных корректировок и другие методы), а также их сочетания.</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применении качественных методов оценка недвижимости выполняется путем изучения взаимосвязей, выявляемых на основе анализа цен сделок и (или) предложений с объектами-аналогами или соответствующей информации, полученной от экспертов, и использования этих взаимосвязей для проведения оценки в соответствии с технологией выбранного для оценки метода.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применении метода корректировок каждый объект-аналог сравнивается с объектом оценки по ценообразующим факторам (элементам сравнения), выявляются различия объектов по этим факторам и цена объекта-аналога или ее удельный показатель корректируется по выявленным различиям с целью дальнейшего определения стоимости объекта оценки. При этом корректировка по каждому элементу сравнения основывается на принципе вклада этого элемента в стоимость объекта.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применении методов регрессионного анализа оценщик, используя данные сегмента рынка оцениваемого объекта, конструирует модель ценообразования, соответствующую рынку этого объекта, по которой определяет расчетное значение искомой стоимости;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для сравнения объекта оценки с другими объектами недвижимости, с которыми были совершены сделки или которые представлены на рынке для их совершения, обычно используются следующие элементы сравнения:</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передаваемые имущественные права, ограничения (обременения) этих прав;</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условия финансирования состоявшейся или предполагаемой сделки (вид оплаты, условия кредитования, иные условия);</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условия продажи (нетипичные для рынка условия, сделка между аффилированными лицами, иные условия);</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условия рынка (изменения цен за период между датами сделки и оценки, скидки к ценам предложений, иные условия);</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вид использования и (или) зонирование;</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местоположение объекта;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физические характеристики объекта, в том числе свойства земельного участка, состояние объектов капитального строительства, соотношение площади земельного участка и площади его застройки, иные характеристики;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экономические характеристики (уровень операционных расходов, условия аренды, состав </w:t>
      </w:r>
      <w:r>
        <w:rPr>
          <w:rFonts w:ascii="Calibri" w:hAnsi="Calibri" w:cs="Calibri"/>
        </w:rPr>
        <w:lastRenderedPageBreak/>
        <w:t>арендаторов, иные характеристики);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движимого имущества, не связанного с недвижимостью;</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другие характеристики (элементы), влияющие на стоимость;</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помимо стоимости, сравнительный подход может использоваться для определения других расчетных показателей, например арендных ставок, износа и устареваний, ставок капитализации и дисконтирования.</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При применении доходного подхода оценщик учитывает следующие положения:</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доходный подход применяется для оценки недвижимости, генерирующей или способной генерировать потоки доходов;</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в рамках доходного подхода стоимость недвижимости может определяться методом прямой капитализации, методом дисконтирования денежных потоков или методом капитализации по расчетным моделям;</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метод прямой капитализации применяется для оценки объектов недвижимости, не требующих значительных капитальных вложений в их ремонт или реконструкцию, фактическое использование которых соответствует их наиболее эффективному использованию. Определение стоимости объектов недвижимости с использованием данного метода выполняется путем деления соответствующего рынку годового дохода от объекта на общую ставку капитализации, которая при этом определяется на основе анализа рыночных данных о соотношениях доходов и цен объектов недвижимости, аналогичных оцениваемому объекту;</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метод дисконтирования денежных потоков применяется для оценки недвижимости, генерирующей или способной генерировать потоки доходов с произвольной динамикой их изменения во времени путем дисконтирования их по ставке, соответствующей доходности инвестиций в аналогичную недвижимость;</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метод капитализации по расчетным моделям применяется для оценки недвижимости, генерирующей регулярные потоки доходов с ожидаемой динамикой их изменения. Капитализация таких доходов проводится по общей ставке капитализации, конструируемой на основе ставки дисконтирования, принимаемой в расчет модели возврата капитала, способов и условий финансирования, а также ожидаемых изменений доходов и стоимости недвижимости в будущем;</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структура (учет налогов, возврата капитала, темпов изменения доходов и стоимости актива) используемых ставок дисконтирования и (или) капитализации должна соответствовать структуре дисконтируемого (капитализируемого) дохода;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для недвижимости, которую можно сдавать в аренду, в качестве источника доходов следует рассматривать арендные платежи;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оценка недвижимости, предназначенной для ведения определенного вида бизнеса (например, гостиницы, рестораны, автозаправочные станции), может проводиться на основании информации об операционной деятельности этого бизнеса путем выделения из его стоимости составляющих, не относящихся к оцениваемой недвижимости.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При применении затратного подхода оценщик учитывает следующие положения:</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затратный подход рекомендуется применять для оценки объектов недвижимости - земельных участков, застроенных объектами капитального строительства, или объектов капитального строительства, но не их частей, например жилых и нежилых помещений;</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затратный подход целесообразно применять для оценки недвижимости, если она соответствует наиболее эффективному использованию земельного участка как незастроенного и есть возможность корректной оценки физического износа, а также функционального и внешнего (экономического) устареваний объектов капитального строительства;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затратный подход рекомендуется использовать при низкой активности рынка, когда недостаточно данных, необходимых для применения сравнительного и доходного подходов к оценке, а также для оценки недвижимости специального назначения и использования (например, линейных объектов, гидротехнических сооружений, водонапорных башен, насосных станций, котельных, инженерных сетей и другой недвижимости, в отношении которой рыночные данные о сделках и предложениях отсутствуют);</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в общем случае стоимость объекта недвижимости, определяемая с использованием затратного подхода, рассчитывается в следующей последовательности: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определение стоимости прав на земельный участок как незастроенный;</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 затрат на создание (воспроизводство или замещение) объектов капитального строительства;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определение прибыли предпринимателя;</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определение износа и устареваний;</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определение стоимости объектов капитального строительства путем суммирования затрат на создание этих объектов и прибыли предпринимателя и вычитания их физического износа и устареваний;</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определение стоимости объекта недвижимости как суммы стоимости прав на земельный участок и стоимости объектов капитального строительства;</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для целей определения рыночной стоимости объекта недвижимости с использованием затратного подхода земельный участок оценивается как незастроенный в предположении его наиболее эффективного использования;</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расчет затрат на создание объектов капитального строительства производится на основании: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данных о строительных контрактах (договорах) на возведение аналогичных объектов;</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данных о затратах на строительство аналогичных объектов из специализированных справочников;</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сметных расчетов;</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информации о рыночных ценах на строительные материалы;</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других данных;</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затраты на создание объектов капитального строительства определяются как сумма издержек, входящих в состав строительно-монтажных работ, непосредственно связанных с созданием этих объектов, и издержек, сопутствующих их созданию, но не включаемых в состав строительно-монтажных работ;</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для целей оценки рыночной стоимости недвижимости величина прибыли предпринимателя определяется на основе рыночной информации методами экстракции, экспертных оценок или аналитических моделей с учетом прямых, косвенных и вмененных издержек, связанных с созданием объектов капитального строительства и приобретением прав на земельный участок;</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величина износа и устареваний определяется как потеря стоимости недвижимости в результате физического износа, функционального и внешнего (экономического) устареваний. При этом износ и устаревания относятся к объектам капитального строительства, относящимся к оцениваемой недвижимости.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Оценщик вправе использовать иную методологию расчетов и самостоятельно определять метод (методы) оценки недвижимости в рамках каждого из выбранных подходов, основываясь на принципах существенности, обоснованности, однозначности, проверяемости и достаточности. При этом в отчете об оценке необходимо привести описание выбранного оценщиком метода (методов), позволяющее пользователю отчета об оценке понять логику процесса определения стоимости и соответствие выбранного оценщиком метода (методов) объекту недвижимости, принципам оценки, определяемому виду стоимости и предполагаемому использованию результатов оценки.</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center"/>
        <w:outlineLvl w:val="1"/>
        <w:rPr>
          <w:rFonts w:ascii="Calibri" w:hAnsi="Calibri" w:cs="Calibri"/>
        </w:rPr>
      </w:pPr>
      <w:bookmarkStart w:id="10" w:name="Par132"/>
      <w:bookmarkEnd w:id="10"/>
      <w:r>
        <w:rPr>
          <w:rFonts w:ascii="Calibri" w:hAnsi="Calibri" w:cs="Calibri"/>
        </w:rPr>
        <w:t>VIII. Согласование результатов оценки</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Согласование результатов оценки недвижимости, полученных с использованием различных методов и подходов, к оценке, и отражение его результатов в отчете об оценке осуществляются в соответствии с требованиями </w:t>
      </w:r>
      <w:hyperlink r:id="rId14" w:history="1">
        <w:r>
          <w:rPr>
            <w:rFonts w:ascii="Calibri" w:hAnsi="Calibri" w:cs="Calibri"/>
            <w:color w:val="0000FF"/>
          </w:rPr>
          <w:t>ФСО N 1</w:t>
        </w:r>
      </w:hyperlink>
      <w:r>
        <w:rPr>
          <w:rFonts w:ascii="Calibri" w:hAnsi="Calibri" w:cs="Calibri"/>
        </w:rPr>
        <w:t xml:space="preserve"> и </w:t>
      </w:r>
      <w:hyperlink r:id="rId15" w:history="1">
        <w:r>
          <w:rPr>
            <w:rFonts w:ascii="Calibri" w:hAnsi="Calibri" w:cs="Calibri"/>
            <w:color w:val="0000FF"/>
          </w:rPr>
          <w:t>ФСО N 3</w:t>
        </w:r>
      </w:hyperlink>
      <w:r>
        <w:rPr>
          <w:rFonts w:ascii="Calibri" w:hAnsi="Calibri" w:cs="Calibri"/>
        </w:rPr>
        <w:t>.</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В случае использования в рамках какого-либо из подходов к оценке недвижимости нескольких методов оценки выполняется предварительное согласование их результатов с целью получения промежуточного результата оценки недвижимости данным подходом.</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В процессе согласования промежуточных результатов оценки недвижимости, полученных с применением разных подходов, следует проанализировать достоинства и недостатки этих подходов, объяснить расхождение промежуточных результатов и на основе </w:t>
      </w:r>
      <w:r>
        <w:rPr>
          <w:rFonts w:ascii="Calibri" w:hAnsi="Calibri" w:cs="Calibri"/>
        </w:rPr>
        <w:lastRenderedPageBreak/>
        <w:t>проведенного анализа определить итоговый результат оценки недвижимости.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При недостаточности рыночных данных, необходимых для реализации какого-либо из подходов к оценке недвижимости в соответствии с требованиями настоящего Федерального стандарта оценки и </w:t>
      </w:r>
      <w:hyperlink r:id="rId16" w:history="1">
        <w:r>
          <w:rPr>
            <w:rFonts w:ascii="Calibri" w:hAnsi="Calibri" w:cs="Calibri"/>
            <w:color w:val="0000FF"/>
          </w:rPr>
          <w:t>ФСО N 1</w:t>
        </w:r>
      </w:hyperlink>
      <w:r>
        <w:rPr>
          <w:rFonts w:ascii="Calibri" w:hAnsi="Calibri" w:cs="Calibri"/>
        </w:rPr>
        <w:t xml:space="preserve">, </w:t>
      </w:r>
      <w:hyperlink r:id="rId17" w:history="1">
        <w:r>
          <w:rPr>
            <w:rFonts w:ascii="Calibri" w:hAnsi="Calibri" w:cs="Calibri"/>
            <w:color w:val="0000FF"/>
          </w:rPr>
          <w:t>ФСО N 2</w:t>
        </w:r>
      </w:hyperlink>
      <w:r>
        <w:rPr>
          <w:rFonts w:ascii="Calibri" w:hAnsi="Calibri" w:cs="Calibri"/>
        </w:rPr>
        <w:t xml:space="preserve">, </w:t>
      </w:r>
      <w:hyperlink r:id="rId18" w:history="1">
        <w:r>
          <w:rPr>
            <w:rFonts w:ascii="Calibri" w:hAnsi="Calibri" w:cs="Calibri"/>
            <w:color w:val="0000FF"/>
          </w:rPr>
          <w:t>ФСО N 3</w:t>
        </w:r>
      </w:hyperlink>
      <w:r>
        <w:rPr>
          <w:rFonts w:ascii="Calibri" w:hAnsi="Calibri" w:cs="Calibri"/>
        </w:rPr>
        <w:t>, в рамках выбранного подхода на основе имеющихся данных рекомендуется указать ориентировочные значения (значение) оцениваемой величины, которые не учитываются при итоговом согласовании, но могут быть использованы в качестве поверочных к итоговому результату оценки недвижимости.</w:t>
      </w:r>
    </w:p>
    <w:p w:rsidR="000B1FEC" w:rsidRDefault="000B1F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 После проведения процедуры согласования оценщик, помимо указания в отчете об оценке итогового результата оценки стоимости недвижимости, приводит свое суждение о возможных границах интервала, в котором, по его мнению, может находиться эта стоимость, если в задании на оценку не указано иное.</w:t>
      </w: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autoSpaceDE w:val="0"/>
        <w:autoSpaceDN w:val="0"/>
        <w:adjustRightInd w:val="0"/>
        <w:spacing w:after="0" w:line="240" w:lineRule="auto"/>
        <w:jc w:val="both"/>
        <w:rPr>
          <w:rFonts w:ascii="Calibri" w:hAnsi="Calibri" w:cs="Calibri"/>
        </w:rPr>
      </w:pPr>
    </w:p>
    <w:p w:rsidR="000B1FEC" w:rsidRDefault="000B1F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5475C6" w:rsidRDefault="000B1FEC">
      <w:bookmarkStart w:id="11" w:name="_GoBack"/>
      <w:bookmarkEnd w:id="11"/>
    </w:p>
    <w:sectPr w:rsidR="005475C6" w:rsidSect="009B6B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FEC"/>
    <w:rsid w:val="000B1FEC"/>
    <w:rsid w:val="00A96EF7"/>
    <w:rsid w:val="00AD48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50E39F30EB3D255A5C7E15D718C467C781672165A8C1CFF207FAF8B8FBF457326BC4A1B820D1D3AC8s1H" TargetMode="External"/><Relationship Id="rId13" Type="http://schemas.openxmlformats.org/officeDocument/2006/relationships/hyperlink" Target="consultantplus://offline/ref=050E39F30EB3D255A5C7E15D718C467C781672165A8F1CFF207FAF8B8FBF457326BC4A1B820D1D39C8sEH" TargetMode="External"/><Relationship Id="rId18" Type="http://schemas.openxmlformats.org/officeDocument/2006/relationships/hyperlink" Target="consultantplus://offline/ref=050E39F30EB3D255A5C7E15D718C467C7E1670165C8641F52826A38988B01A6421F5461A820D1DC3s3H" TargetMode="External"/><Relationship Id="rId3" Type="http://schemas.openxmlformats.org/officeDocument/2006/relationships/settings" Target="settings.xml"/><Relationship Id="rId7" Type="http://schemas.openxmlformats.org/officeDocument/2006/relationships/hyperlink" Target="consultantplus://offline/ref=050E39F30EB3D255A5C7E15D718C467C781672165A8F1CFF207FAF8B8FBF457326BC4A1B820D1D3AC8s1H" TargetMode="External"/><Relationship Id="rId12" Type="http://schemas.openxmlformats.org/officeDocument/2006/relationships/hyperlink" Target="consultantplus://offline/ref=050E39F30EB3D255A5C7E15D718C467C7E1670165C8641F52826A38988B01A6421F5461A820D1DC3s3H" TargetMode="External"/><Relationship Id="rId17" Type="http://schemas.openxmlformats.org/officeDocument/2006/relationships/hyperlink" Target="consultantplus://offline/ref=050E39F30EB3D255A5C7E15D718C467C781672165A8C1CFF207FAF8B8FBF457326BC4A1B820D1D3AC8s1H" TargetMode="External"/><Relationship Id="rId2" Type="http://schemas.microsoft.com/office/2007/relationships/stylesWithEffects" Target="stylesWithEffects.xml"/><Relationship Id="rId16" Type="http://schemas.openxmlformats.org/officeDocument/2006/relationships/hyperlink" Target="consultantplus://offline/ref=050E39F30EB3D255A5C7E15D718C467C781672165A8F1CFF207FAF8B8FBF457326BC4A1B820D1D3AC8s1H"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50E39F30EB3D255A5C7E15D718C467C781E75195E8A1CFF207FAF8B8FBF457326BC4A1B820D1B3BC8sEH" TargetMode="External"/><Relationship Id="rId11" Type="http://schemas.openxmlformats.org/officeDocument/2006/relationships/hyperlink" Target="consultantplus://offline/ref=050E39F30EB3D255A5C7E15D718C467C781672165A8C1CFF207FAF8B8FBF457326BC4A1B820D1D3AC8s1H"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050E39F30EB3D255A5C7E15D718C467C7E1670165C8641F52826A38988B01A6421F5461A820D1DC3s3H" TargetMode="External"/><Relationship Id="rId10" Type="http://schemas.openxmlformats.org/officeDocument/2006/relationships/hyperlink" Target="consultantplus://offline/ref=050E39F30EB3D255A5C7E15D718C467C781672165A8F1CFF207FAF8B8FBF457326BC4A1B820D1D3AC8s1H"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50E39F30EB3D255A5C7E15D718C467C7E1670165C8641F52826A38988B01A6421F5461A820D1DC3s3H" TargetMode="External"/><Relationship Id="rId14" Type="http://schemas.openxmlformats.org/officeDocument/2006/relationships/hyperlink" Target="consultantplus://offline/ref=050E39F30EB3D255A5C7E15D718C467C781672165A8F1CFF207FAF8B8FBF457326BC4A1B820D1D3AC8s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3399</Words>
  <Characters>19380</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Kayukov Sergey A.</dc:creator>
  <cp:lastModifiedBy>Kayukov Sergey A. </cp:lastModifiedBy>
  <cp:revision>1</cp:revision>
  <dcterms:created xsi:type="dcterms:W3CDTF">2015-06-23T07:44:00Z</dcterms:created>
  <dcterms:modified xsi:type="dcterms:W3CDTF">2015-06-23T07:44:00Z</dcterms:modified>
</cp:coreProperties>
</file>