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7B" w:rsidRPr="00FF037B" w:rsidRDefault="00FF037B" w:rsidP="00280F25">
      <w:pPr>
        <w:keepNext/>
        <w:widowControl w:val="0"/>
        <w:tabs>
          <w:tab w:val="num" w:pos="3936"/>
        </w:tabs>
        <w:adjustRightInd w:val="0"/>
        <w:spacing w:line="240" w:lineRule="auto"/>
        <w:jc w:val="both"/>
        <w:textAlignment w:val="baseline"/>
        <w:outlineLvl w:val="1"/>
        <w:rPr>
          <w:rFonts w:eastAsia="Times New Roman"/>
          <w:b/>
          <w:sz w:val="22"/>
          <w:szCs w:val="20"/>
          <w:lang w:eastAsia="ru-RU"/>
        </w:rPr>
      </w:pPr>
      <w:bookmarkStart w:id="0" w:name="_Toc478745983"/>
      <w:r w:rsidRPr="00FF037B">
        <w:rPr>
          <w:rFonts w:eastAsia="Times New Roman"/>
          <w:b/>
          <w:sz w:val="22"/>
          <w:szCs w:val="20"/>
          <w:lang w:eastAsia="ru-RU"/>
        </w:rPr>
        <w:t>Анализ рынка</w:t>
      </w:r>
      <w:bookmarkEnd w:id="0"/>
      <w:r>
        <w:rPr>
          <w:rFonts w:eastAsia="Times New Roman"/>
          <w:b/>
          <w:sz w:val="22"/>
          <w:szCs w:val="20"/>
          <w:lang w:eastAsia="ru-RU"/>
        </w:rPr>
        <w:t xml:space="preserve"> </w:t>
      </w:r>
      <w:r w:rsidR="00856CBA">
        <w:rPr>
          <w:rFonts w:eastAsia="Times New Roman"/>
          <w:b/>
          <w:sz w:val="22"/>
          <w:szCs w:val="20"/>
          <w:lang w:eastAsia="ru-RU"/>
        </w:rPr>
        <w:t>земельных участков Московской области, предназначенных для сельскохозяйственного производства</w:t>
      </w:r>
      <w:r w:rsidR="00E85173">
        <w:rPr>
          <w:rFonts w:eastAsia="Times New Roman"/>
          <w:b/>
          <w:sz w:val="22"/>
          <w:szCs w:val="20"/>
          <w:lang w:eastAsia="ru-RU"/>
        </w:rPr>
        <w:t xml:space="preserve">, по состоянию на </w:t>
      </w:r>
      <w:r w:rsidR="007A7DE1">
        <w:rPr>
          <w:rFonts w:eastAsia="Times New Roman"/>
          <w:b/>
          <w:sz w:val="22"/>
          <w:szCs w:val="20"/>
          <w:lang w:eastAsia="ru-RU"/>
        </w:rPr>
        <w:t>апрель</w:t>
      </w:r>
      <w:r w:rsidR="00E85173">
        <w:rPr>
          <w:rFonts w:eastAsia="Times New Roman"/>
          <w:b/>
          <w:sz w:val="22"/>
          <w:szCs w:val="20"/>
          <w:lang w:eastAsia="ru-RU"/>
        </w:rPr>
        <w:t xml:space="preserve"> 2017 года</w:t>
      </w:r>
    </w:p>
    <w:p w:rsidR="00FF037B" w:rsidRDefault="00FF037B" w:rsidP="00FF037B">
      <w:pPr>
        <w:spacing w:line="240" w:lineRule="auto"/>
        <w:ind w:firstLine="720"/>
        <w:jc w:val="both"/>
        <w:rPr>
          <w:rFonts w:eastAsia="Times New Roman"/>
          <w:szCs w:val="20"/>
          <w:lang w:eastAsia="ru-RU"/>
        </w:rPr>
      </w:pP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szCs w:val="20"/>
          <w:lang w:eastAsia="ru-RU"/>
        </w:rPr>
      </w:pPr>
      <w:r w:rsidRPr="00FF037B">
        <w:rPr>
          <w:rFonts w:eastAsia="Times New Roman"/>
          <w:szCs w:val="20"/>
          <w:lang w:eastAsia="ru-RU"/>
        </w:rPr>
        <w:t>В соответствии со  ст. 77 Земельного кодекса Российской Федерации к категории земель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 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 [</w:t>
      </w:r>
      <w:r>
        <w:rPr>
          <w:rFonts w:eastAsia="Times New Roman"/>
          <w:szCs w:val="20"/>
          <w:lang w:eastAsia="ru-RU"/>
        </w:rPr>
        <w:t>1</w:t>
      </w:r>
      <w:r w:rsidRPr="00FF037B">
        <w:rPr>
          <w:rFonts w:eastAsia="Times New Roman"/>
          <w:szCs w:val="20"/>
          <w:lang w:eastAsia="ru-RU"/>
        </w:rPr>
        <w:t>] .</w:t>
      </w: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szCs w:val="20"/>
          <w:lang w:eastAsia="ru-RU"/>
        </w:rPr>
      </w:pPr>
      <w:r w:rsidRPr="00FF037B">
        <w:rPr>
          <w:rFonts w:eastAsia="Times New Roman"/>
          <w:szCs w:val="20"/>
          <w:lang w:eastAsia="ru-RU"/>
        </w:rPr>
        <w:t>Основными видами разрешённого использования земель сельскохозяйственного назначения являются следующие: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after="120" w:line="240" w:lineRule="auto"/>
        <w:ind w:left="1434" w:hanging="357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сельскохозяйственного использования;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сельскохозяйственного производства - пашни, сенокосы, пастбища, участки, занятые многолетними насаждениями, в том числе садами, виноградниками и др.;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крестьянского (фермерского) хозяйства;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личного подсобного хозяйства;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дачного строительства - участки, предоставленные гражданам или приобретённые ими в целях отдыха (с правом возведения жилого дома с правом регистрации проживания в нём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садоводства - участки, предоставленные гражданам или приобретённые ими для выращивания плодовых, ягодных, овощных, бахчевых или иных сельскохозяйственных культур и картофеля, а также отдыха (с правом возведения жилого строения без права регистрации проживания в нём);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животноводства;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сенокошения и выпаса скота;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огородничества;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охотничьи угодья;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пчеловодства или др.;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создания защитных лесных насаждений;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научно-исследовательских, учебных и иных целей, связанных с сельскохозяйственным производством;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рыбных промыслов;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создания форелевого хозяйства;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иные варианты</w:t>
      </w:r>
      <w:r w:rsidR="00856CBA">
        <w:rPr>
          <w:rFonts w:eastAsia="Times New Roman"/>
          <w:lang w:eastAsia="ru-RU"/>
        </w:rPr>
        <w:t xml:space="preserve"> [2]</w:t>
      </w:r>
      <w:r w:rsidRPr="00FF037B">
        <w:rPr>
          <w:rFonts w:eastAsia="Times New Roman"/>
          <w:lang w:eastAsia="ru-RU"/>
        </w:rPr>
        <w:t>.</w:t>
      </w: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szCs w:val="20"/>
          <w:lang w:eastAsia="ru-RU"/>
        </w:rPr>
      </w:pP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szCs w:val="20"/>
          <w:lang w:eastAsia="ru-RU"/>
        </w:rPr>
      </w:pPr>
      <w:r w:rsidRPr="00FF037B">
        <w:rPr>
          <w:rFonts w:eastAsia="Times New Roman"/>
          <w:szCs w:val="20"/>
          <w:lang w:eastAsia="ru-RU"/>
        </w:rPr>
        <w:t>Правовой режим и использование земельных участков, предназначенных для сельскохозяйственного производства</w:t>
      </w:r>
      <w:r w:rsidR="00856CBA">
        <w:rPr>
          <w:rFonts w:eastAsia="Times New Roman"/>
          <w:szCs w:val="20"/>
          <w:lang w:eastAsia="ru-RU"/>
        </w:rPr>
        <w:t>,</w:t>
      </w:r>
      <w:r w:rsidRPr="00FF037B">
        <w:rPr>
          <w:rFonts w:eastAsia="Times New Roman"/>
          <w:szCs w:val="20"/>
          <w:lang w:eastAsia="ru-RU"/>
        </w:rPr>
        <w:t xml:space="preserve"> регулируется Земельным кодексом РФ (п.1 ст. 85, п.6. ст. 87, ст.78).</w:t>
      </w: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szCs w:val="20"/>
          <w:lang w:eastAsia="ru-RU"/>
        </w:rPr>
      </w:pPr>
      <w:r w:rsidRPr="00FF037B">
        <w:rPr>
          <w:rFonts w:eastAsia="Times New Roman"/>
          <w:szCs w:val="20"/>
          <w:lang w:eastAsia="ru-RU"/>
        </w:rPr>
        <w:t>В Центральном федеральном округе по состоянию на 01.01.2016 было расположено 9,1% земельных участков сельскохозяйственного назначения [</w:t>
      </w:r>
      <w:r>
        <w:rPr>
          <w:rFonts w:eastAsia="Times New Roman"/>
          <w:szCs w:val="20"/>
          <w:lang w:eastAsia="ru-RU"/>
        </w:rPr>
        <w:t>3</w:t>
      </w:r>
      <w:r w:rsidRPr="00FF037B">
        <w:rPr>
          <w:rFonts w:eastAsia="Times New Roman"/>
          <w:szCs w:val="20"/>
          <w:lang w:eastAsia="ru-RU"/>
        </w:rPr>
        <w:t>].</w:t>
      </w: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szCs w:val="20"/>
          <w:lang w:eastAsia="ru-RU"/>
        </w:rPr>
      </w:pPr>
      <w:proofErr w:type="gramStart"/>
      <w:r w:rsidRPr="00FF037B">
        <w:rPr>
          <w:rFonts w:eastAsia="Times New Roman"/>
          <w:szCs w:val="20"/>
          <w:lang w:eastAsia="ru-RU"/>
        </w:rPr>
        <w:t xml:space="preserve">Что касается земельных участков, отнесенных к категории земель населенных пунктов, в состав территориальных зон, устанавливаемых в границах населенных пунктов, </w:t>
      </w:r>
      <w:r w:rsidRPr="00FF037B">
        <w:rPr>
          <w:rFonts w:eastAsia="Times New Roman"/>
          <w:szCs w:val="20"/>
          <w:lang w:eastAsia="ru-RU"/>
        </w:rPr>
        <w:lastRenderedPageBreak/>
        <w:t>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 [</w:t>
      </w:r>
      <w:r>
        <w:rPr>
          <w:rFonts w:eastAsia="Times New Roman"/>
          <w:szCs w:val="20"/>
          <w:lang w:eastAsia="ru-RU"/>
        </w:rPr>
        <w:t>4</w:t>
      </w:r>
      <w:r w:rsidRPr="00FF037B">
        <w:rPr>
          <w:rFonts w:eastAsia="Times New Roman"/>
          <w:szCs w:val="20"/>
          <w:lang w:eastAsia="ru-RU"/>
        </w:rPr>
        <w:t>].</w:t>
      </w:r>
      <w:proofErr w:type="gramEnd"/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szCs w:val="20"/>
          <w:lang w:eastAsia="ru-RU"/>
        </w:rPr>
      </w:pPr>
      <w:r w:rsidRPr="00FF037B">
        <w:rPr>
          <w:rFonts w:eastAsia="Times New Roman"/>
          <w:szCs w:val="20"/>
          <w:lang w:eastAsia="ru-RU"/>
        </w:rPr>
        <w:t xml:space="preserve">Анализ рынка земельных участков сельскохозяйственного назначения Московской области позволяет сделать вывод, что наибольшим спросом среди покупателей пользуются земельные участки со следующими видам разрешенного использования (по убыванию от наибольшего спроса </w:t>
      </w:r>
      <w:proofErr w:type="gramStart"/>
      <w:r w:rsidRPr="00FF037B">
        <w:rPr>
          <w:rFonts w:eastAsia="Times New Roman"/>
          <w:szCs w:val="20"/>
          <w:lang w:eastAsia="ru-RU"/>
        </w:rPr>
        <w:t>к</w:t>
      </w:r>
      <w:proofErr w:type="gramEnd"/>
      <w:r w:rsidRPr="00FF037B">
        <w:rPr>
          <w:rFonts w:eastAsia="Times New Roman"/>
          <w:szCs w:val="20"/>
          <w:lang w:eastAsia="ru-RU"/>
        </w:rPr>
        <w:t xml:space="preserve"> наименьшему):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after="120" w:line="240" w:lineRule="auto"/>
        <w:ind w:left="1434" w:hanging="357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личного подсобного хозяйства;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дачного строительства (</w:t>
      </w:r>
      <w:proofErr w:type="spellStart"/>
      <w:r w:rsidRPr="00FF037B">
        <w:rPr>
          <w:rFonts w:eastAsia="Times New Roman"/>
          <w:lang w:eastAsia="ru-RU"/>
        </w:rPr>
        <w:t>ДНП</w:t>
      </w:r>
      <w:proofErr w:type="spellEnd"/>
      <w:r w:rsidRPr="00FF037B">
        <w:rPr>
          <w:rFonts w:eastAsia="Times New Roman"/>
          <w:lang w:eastAsia="ru-RU"/>
        </w:rPr>
        <w:t>)</w:t>
      </w:r>
      <w:r w:rsidRPr="00FF037B">
        <w:rPr>
          <w:rFonts w:eastAsia="Times New Roman"/>
          <w:lang w:val="en-US" w:eastAsia="ru-RU"/>
        </w:rPr>
        <w:t>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садоводства (</w:t>
      </w:r>
      <w:proofErr w:type="spellStart"/>
      <w:r w:rsidRPr="00FF037B">
        <w:rPr>
          <w:rFonts w:eastAsia="Times New Roman"/>
          <w:lang w:eastAsia="ru-RU"/>
        </w:rPr>
        <w:t>СНТ</w:t>
      </w:r>
      <w:proofErr w:type="spellEnd"/>
      <w:r w:rsidRPr="00FF037B">
        <w:rPr>
          <w:rFonts w:eastAsia="Times New Roman"/>
          <w:lang w:eastAsia="ru-RU"/>
        </w:rPr>
        <w:t>)</w:t>
      </w:r>
      <w:r w:rsidRPr="00FF037B">
        <w:rPr>
          <w:rFonts w:eastAsia="Times New Roman"/>
          <w:lang w:val="en-US" w:eastAsia="ru-RU"/>
        </w:rPr>
        <w:t>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крестьянского (фермерского) хозяйства (</w:t>
      </w:r>
      <w:proofErr w:type="spellStart"/>
      <w:r w:rsidRPr="00FF037B">
        <w:rPr>
          <w:rFonts w:eastAsia="Times New Roman"/>
          <w:lang w:eastAsia="ru-RU"/>
        </w:rPr>
        <w:t>КФХ</w:t>
      </w:r>
      <w:proofErr w:type="spellEnd"/>
      <w:r w:rsidRPr="00FF037B">
        <w:rPr>
          <w:rFonts w:eastAsia="Times New Roman"/>
          <w:lang w:eastAsia="ru-RU"/>
        </w:rPr>
        <w:t>);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after="120" w:line="240" w:lineRule="auto"/>
        <w:ind w:left="1434" w:hanging="357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сельскохозяйственного использования;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для ведения сельскохозяйственного производства</w:t>
      </w:r>
      <w:r w:rsidR="00A63EB0">
        <w:rPr>
          <w:rFonts w:eastAsia="Times New Roman"/>
          <w:snapToGrid w:val="0"/>
          <w:color w:val="000000"/>
          <w:szCs w:val="20"/>
          <w:lang w:eastAsia="ru-RU"/>
        </w:rPr>
        <w:t>:</w:t>
      </w:r>
      <w:r w:rsidRPr="00FF037B">
        <w:rPr>
          <w:rFonts w:eastAsia="Times New Roman"/>
          <w:lang w:eastAsia="ru-RU"/>
        </w:rPr>
        <w:t xml:space="preserve"> пашни, сенокосы, пастбища, участки, занятые многолетними насаждениями, в том числе садами, виноградниками и др.</w:t>
      </w:r>
    </w:p>
    <w:p w:rsidR="00E85173" w:rsidRDefault="00E85173" w:rsidP="00FF037B">
      <w:pPr>
        <w:spacing w:line="240" w:lineRule="auto"/>
        <w:ind w:firstLine="720"/>
        <w:jc w:val="both"/>
        <w:rPr>
          <w:rFonts w:eastAsia="Times New Roman"/>
          <w:snapToGrid w:val="0"/>
          <w:color w:val="000000"/>
          <w:szCs w:val="20"/>
          <w:lang w:eastAsia="ru-RU"/>
        </w:rPr>
      </w:pP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snapToGrid w:val="0"/>
          <w:color w:val="000000"/>
          <w:szCs w:val="20"/>
          <w:lang w:eastAsia="ru-RU"/>
        </w:rPr>
      </w:pPr>
      <w:r w:rsidRPr="00FF037B">
        <w:rPr>
          <w:rFonts w:eastAsia="Times New Roman"/>
          <w:snapToGrid w:val="0"/>
          <w:color w:val="000000"/>
          <w:szCs w:val="20"/>
          <w:lang w:eastAsia="ru-RU"/>
        </w:rPr>
        <w:t>Необходимо отметить, что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 [</w:t>
      </w:r>
      <w:r>
        <w:rPr>
          <w:rFonts w:eastAsia="Times New Roman"/>
          <w:snapToGrid w:val="0"/>
          <w:color w:val="000000"/>
          <w:szCs w:val="20"/>
          <w:lang w:eastAsia="ru-RU"/>
        </w:rPr>
        <w:t>1</w:t>
      </w:r>
      <w:r w:rsidRPr="00FF037B">
        <w:rPr>
          <w:rFonts w:eastAsia="Times New Roman"/>
          <w:snapToGrid w:val="0"/>
          <w:color w:val="000000"/>
          <w:szCs w:val="20"/>
          <w:lang w:eastAsia="ru-RU"/>
        </w:rPr>
        <w:t>].</w:t>
      </w: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snapToGrid w:val="0"/>
          <w:color w:val="000000"/>
          <w:szCs w:val="20"/>
          <w:lang w:eastAsia="ru-RU"/>
        </w:rPr>
        <w:t>Таким образом, вид разрешенного использования является производной от местоположения земельного участка относительно градостроительных зон и зон межселенных территорий.</w:t>
      </w:r>
    </w:p>
    <w:p w:rsidR="00FF037B" w:rsidRPr="00FF037B" w:rsidRDefault="00FF037B" w:rsidP="003C19A7">
      <w:pPr>
        <w:spacing w:line="240" w:lineRule="auto"/>
        <w:ind w:firstLine="720"/>
        <w:jc w:val="both"/>
        <w:rPr>
          <w:rFonts w:eastAsia="Times New Roman"/>
          <w:lang w:eastAsia="ru-RU"/>
        </w:rPr>
      </w:pPr>
      <w:proofErr w:type="gramStart"/>
      <w:r w:rsidRPr="00FF037B">
        <w:rPr>
          <w:rFonts w:eastAsia="Times New Roman"/>
          <w:snapToGrid w:val="0"/>
          <w:color w:val="000000"/>
          <w:szCs w:val="20"/>
          <w:lang w:eastAsia="ru-RU"/>
        </w:rPr>
        <w:t xml:space="preserve">Учитывая </w:t>
      </w:r>
      <w:r w:rsidR="003C19A7">
        <w:rPr>
          <w:rFonts w:eastAsia="Times New Roman"/>
          <w:snapToGrid w:val="0"/>
          <w:color w:val="000000"/>
          <w:szCs w:val="20"/>
          <w:lang w:eastAsia="ru-RU"/>
        </w:rPr>
        <w:t xml:space="preserve">данную </w:t>
      </w:r>
      <w:r w:rsidRPr="00FF037B">
        <w:rPr>
          <w:rFonts w:eastAsia="Times New Roman"/>
          <w:snapToGrid w:val="0"/>
          <w:color w:val="000000"/>
          <w:szCs w:val="20"/>
          <w:lang w:eastAsia="ru-RU"/>
        </w:rPr>
        <w:t xml:space="preserve">особенность, а также </w:t>
      </w:r>
      <w:r w:rsidR="003C19A7">
        <w:rPr>
          <w:rFonts w:eastAsia="Times New Roman"/>
          <w:snapToGrid w:val="0"/>
          <w:color w:val="000000"/>
          <w:szCs w:val="20"/>
          <w:lang w:eastAsia="ru-RU"/>
        </w:rPr>
        <w:t>потенциальную</w:t>
      </w:r>
      <w:r w:rsidRPr="00FF037B">
        <w:rPr>
          <w:rFonts w:eastAsia="Times New Roman"/>
          <w:snapToGrid w:val="0"/>
          <w:color w:val="000000"/>
          <w:szCs w:val="20"/>
          <w:lang w:eastAsia="ru-RU"/>
        </w:rPr>
        <w:t xml:space="preserve"> возможность внесения изменений в</w:t>
      </w:r>
      <w:r w:rsidR="003C19A7">
        <w:rPr>
          <w:rFonts w:eastAsia="Times New Roman"/>
          <w:snapToGrid w:val="0"/>
          <w:color w:val="000000"/>
          <w:szCs w:val="20"/>
          <w:lang w:eastAsia="ru-RU"/>
        </w:rPr>
        <w:t xml:space="preserve"> план</w:t>
      </w:r>
      <w:r w:rsidRPr="00FF037B">
        <w:rPr>
          <w:rFonts w:eastAsia="Times New Roman"/>
          <w:snapToGrid w:val="0"/>
          <w:color w:val="000000"/>
          <w:szCs w:val="20"/>
          <w:lang w:eastAsia="ru-RU"/>
        </w:rPr>
        <w:t xml:space="preserve"> зонировани</w:t>
      </w:r>
      <w:r w:rsidR="003C19A7">
        <w:rPr>
          <w:rFonts w:eastAsia="Times New Roman"/>
          <w:snapToGrid w:val="0"/>
          <w:color w:val="000000"/>
          <w:szCs w:val="20"/>
          <w:lang w:eastAsia="ru-RU"/>
        </w:rPr>
        <w:t>я</w:t>
      </w:r>
      <w:r w:rsidRPr="00FF037B">
        <w:rPr>
          <w:rFonts w:eastAsia="Times New Roman"/>
          <w:snapToGrid w:val="0"/>
          <w:color w:val="000000"/>
          <w:szCs w:val="20"/>
          <w:lang w:eastAsia="ru-RU"/>
        </w:rPr>
        <w:t xml:space="preserve"> территорий, наибольшим спросом среди земельных участков, предназначенных </w:t>
      </w:r>
      <w:r w:rsidR="00A63EB0">
        <w:rPr>
          <w:rFonts w:eastAsia="Times New Roman"/>
          <w:snapToGrid w:val="0"/>
          <w:color w:val="000000"/>
          <w:szCs w:val="20"/>
          <w:lang w:eastAsia="ru-RU"/>
        </w:rPr>
        <w:t>«</w:t>
      </w:r>
      <w:r w:rsidRPr="00FF037B">
        <w:rPr>
          <w:rFonts w:eastAsia="Times New Roman"/>
          <w:lang w:eastAsia="ru-RU"/>
        </w:rPr>
        <w:t>для сельскохозяйственного использования</w:t>
      </w:r>
      <w:r w:rsidR="00A63EB0">
        <w:rPr>
          <w:rFonts w:eastAsia="Times New Roman"/>
          <w:lang w:eastAsia="ru-RU"/>
        </w:rPr>
        <w:t xml:space="preserve">», а также «для </w:t>
      </w:r>
      <w:r w:rsidR="00A63EB0" w:rsidRPr="00FF037B">
        <w:rPr>
          <w:rFonts w:eastAsia="Times New Roman"/>
          <w:lang w:eastAsia="ru-RU"/>
        </w:rPr>
        <w:t>ведения сельскохозяйственного производства</w:t>
      </w:r>
      <w:r w:rsidR="00A63EB0">
        <w:rPr>
          <w:rFonts w:eastAsia="Times New Roman"/>
          <w:lang w:eastAsia="ru-RU"/>
        </w:rPr>
        <w:t>»</w:t>
      </w:r>
      <w:r w:rsidR="003C19A7">
        <w:rPr>
          <w:rFonts w:eastAsia="Times New Roman"/>
          <w:lang w:eastAsia="ru-RU"/>
        </w:rPr>
        <w:t>,</w:t>
      </w:r>
      <w:r w:rsidRPr="00FF037B">
        <w:rPr>
          <w:rFonts w:eastAsia="Times New Roman"/>
          <w:lang w:eastAsia="ru-RU"/>
        </w:rPr>
        <w:t xml:space="preserve"> </w:t>
      </w:r>
      <w:r w:rsidR="003C19A7">
        <w:rPr>
          <w:rFonts w:eastAsia="Times New Roman"/>
          <w:lang w:eastAsia="ru-RU"/>
        </w:rPr>
        <w:t xml:space="preserve">пользуются земельные участки, </w:t>
      </w:r>
      <w:r w:rsidRPr="00FF037B">
        <w:rPr>
          <w:rFonts w:eastAsia="Times New Roman"/>
          <w:lang w:eastAsia="ru-RU"/>
        </w:rPr>
        <w:t xml:space="preserve">для которых существует реальная финансовая целесообразность изменения их статуса на </w:t>
      </w:r>
      <w:r w:rsidR="003C19A7">
        <w:rPr>
          <w:rFonts w:eastAsia="Times New Roman"/>
          <w:lang w:eastAsia="ru-RU"/>
        </w:rPr>
        <w:t>статус</w:t>
      </w:r>
      <w:r w:rsidRPr="00FF037B">
        <w:rPr>
          <w:rFonts w:eastAsia="Times New Roman"/>
          <w:lang w:eastAsia="ru-RU"/>
        </w:rPr>
        <w:t>, предполагающ</w:t>
      </w:r>
      <w:r w:rsidR="003C19A7">
        <w:rPr>
          <w:rFonts w:eastAsia="Times New Roman"/>
          <w:lang w:eastAsia="ru-RU"/>
        </w:rPr>
        <w:t>ий</w:t>
      </w:r>
      <w:r w:rsidR="00FA5313">
        <w:rPr>
          <w:rFonts w:eastAsia="Times New Roman"/>
          <w:lang w:eastAsia="ru-RU"/>
        </w:rPr>
        <w:t xml:space="preserve"> возможность </w:t>
      </w:r>
      <w:r w:rsidRPr="00FF037B">
        <w:rPr>
          <w:rFonts w:eastAsia="Times New Roman"/>
          <w:lang w:eastAsia="ru-RU"/>
        </w:rPr>
        <w:t>дачного строительства.</w:t>
      </w:r>
      <w:proofErr w:type="gramEnd"/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 xml:space="preserve">Таковая целесообразность обычно подразумевается при наличии следующих факторов: 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after="120" w:line="240" w:lineRule="auto"/>
        <w:ind w:left="1434" w:hanging="357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расположение земельного участка в непосредственной близости к уже существующим населенным пунктам</w:t>
      </w:r>
      <w:r w:rsidR="00A63EB0">
        <w:rPr>
          <w:rFonts w:eastAsia="Times New Roman"/>
          <w:lang w:eastAsia="ru-RU"/>
        </w:rPr>
        <w:t xml:space="preserve"> (в том числе </w:t>
      </w:r>
      <w:r w:rsidR="00A63EB0" w:rsidRPr="00FF037B">
        <w:rPr>
          <w:rFonts w:eastAsia="Times New Roman"/>
          <w:lang w:eastAsia="ru-RU"/>
        </w:rPr>
        <w:t>садовым или дачным товариществам</w:t>
      </w:r>
      <w:r w:rsidR="00A63EB0">
        <w:rPr>
          <w:rFonts w:eastAsia="Times New Roman"/>
          <w:lang w:eastAsia="ru-RU"/>
        </w:rPr>
        <w:t>)</w:t>
      </w:r>
      <w:r w:rsidRPr="00FF037B">
        <w:rPr>
          <w:rFonts w:eastAsia="Times New Roman"/>
          <w:lang w:eastAsia="ru-RU"/>
        </w:rPr>
        <w:t>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наличие качественных подъездных путей;</w:t>
      </w:r>
    </w:p>
    <w:p w:rsidR="00FF037B" w:rsidRPr="00FF037B" w:rsidRDefault="00FF037B" w:rsidP="00FF037B">
      <w:pPr>
        <w:numPr>
          <w:ilvl w:val="0"/>
          <w:numId w:val="4"/>
        </w:numPr>
        <w:tabs>
          <w:tab w:val="left" w:pos="7088"/>
        </w:tabs>
        <w:spacing w:before="120" w:after="120" w:line="240" w:lineRule="auto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>оптимальной для садового</w:t>
      </w:r>
      <w:r w:rsidR="00A63EB0">
        <w:rPr>
          <w:rFonts w:eastAsia="Times New Roman"/>
          <w:lang w:eastAsia="ru-RU"/>
        </w:rPr>
        <w:t xml:space="preserve"> или дачного</w:t>
      </w:r>
      <w:r w:rsidRPr="00FF037B">
        <w:rPr>
          <w:rFonts w:eastAsia="Times New Roman"/>
          <w:lang w:eastAsia="ru-RU"/>
        </w:rPr>
        <w:t xml:space="preserve"> </w:t>
      </w:r>
      <w:r w:rsidR="007A7DE1">
        <w:rPr>
          <w:rFonts w:eastAsia="Times New Roman"/>
          <w:lang w:eastAsia="ru-RU"/>
        </w:rPr>
        <w:t>поселка</w:t>
      </w:r>
      <w:r w:rsidRPr="00FF037B">
        <w:rPr>
          <w:rFonts w:eastAsia="Times New Roman"/>
          <w:lang w:eastAsia="ru-RU"/>
        </w:rPr>
        <w:t xml:space="preserve"> площади земельного участка.</w:t>
      </w:r>
    </w:p>
    <w:p w:rsidR="00E85173" w:rsidRDefault="00E85173" w:rsidP="00FF037B">
      <w:pPr>
        <w:spacing w:line="240" w:lineRule="auto"/>
        <w:ind w:firstLine="720"/>
        <w:jc w:val="both"/>
        <w:rPr>
          <w:rFonts w:eastAsia="Times New Roman"/>
          <w:lang w:eastAsia="ru-RU"/>
        </w:rPr>
      </w:pP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 xml:space="preserve">Также необходимо отметить выраженную тенденцию снижения цен предложения земельных участков при удалении их от Московской кольцевой автодороги и отсутствующую или слабо выраженную зависимость удельных цен предложения земельных участков сельскохозяйственного назначения от их площади и направления (ближайшей крупной магистрали) относительно </w:t>
      </w:r>
      <w:proofErr w:type="spellStart"/>
      <w:r w:rsidRPr="00FF037B">
        <w:rPr>
          <w:rFonts w:eastAsia="Times New Roman"/>
          <w:lang w:eastAsia="ru-RU"/>
        </w:rPr>
        <w:t>МКАД</w:t>
      </w:r>
      <w:proofErr w:type="spellEnd"/>
      <w:r w:rsidRPr="00FF037B">
        <w:rPr>
          <w:rFonts w:eastAsia="Times New Roman"/>
          <w:lang w:eastAsia="ru-RU"/>
        </w:rPr>
        <w:t>.</w:t>
      </w:r>
    </w:p>
    <w:p w:rsidR="00FF037B" w:rsidRPr="00FF037B" w:rsidRDefault="00FF037B" w:rsidP="00FF037B">
      <w:pPr>
        <w:spacing w:line="240" w:lineRule="auto"/>
        <w:ind w:firstLine="720"/>
        <w:jc w:val="both"/>
        <w:rPr>
          <w:rFonts w:eastAsia="Times New Roman"/>
          <w:snapToGrid w:val="0"/>
          <w:color w:val="000000"/>
          <w:szCs w:val="20"/>
          <w:lang w:eastAsia="ru-RU"/>
        </w:rPr>
      </w:pPr>
      <w:r w:rsidRPr="00FF037B">
        <w:rPr>
          <w:rFonts w:eastAsia="Times New Roman"/>
          <w:snapToGrid w:val="0"/>
          <w:color w:val="000000"/>
          <w:szCs w:val="20"/>
          <w:lang w:eastAsia="ru-RU"/>
        </w:rPr>
        <w:t xml:space="preserve">Анализ динамики предложений земельных участков </w:t>
      </w:r>
      <w:r w:rsidRPr="00FF037B">
        <w:rPr>
          <w:rFonts w:eastAsia="Times New Roman"/>
          <w:lang w:eastAsia="ru-RU"/>
        </w:rPr>
        <w:t>сельскохозяйственного назначения Московской области позволяет сделать вывод, что</w:t>
      </w:r>
      <w:r w:rsidRPr="00FF037B">
        <w:rPr>
          <w:rFonts w:eastAsia="Times New Roman"/>
          <w:snapToGrid w:val="0"/>
          <w:color w:val="000000"/>
          <w:szCs w:val="20"/>
          <w:lang w:eastAsia="ru-RU"/>
        </w:rPr>
        <w:t xml:space="preserve"> срок экспозиции (период времени, начиная с момента представления на открытый рынок и до момента совершения сделки) объектов, подобных оцениваемому, может составлять от нескольких недель до года. </w:t>
      </w:r>
    </w:p>
    <w:p w:rsidR="005D0012" w:rsidRDefault="005D0012"/>
    <w:p w:rsidR="00A63EB0" w:rsidRDefault="00A63EB0"/>
    <w:p w:rsidR="00F61ED9" w:rsidRDefault="00076D9B" w:rsidP="00F61ED9">
      <w:pPr>
        <w:spacing w:line="240" w:lineRule="auto"/>
        <w:ind w:firstLine="567"/>
        <w:jc w:val="both"/>
        <w:rPr>
          <w:bCs/>
        </w:rPr>
      </w:pPr>
      <w:r>
        <w:rPr>
          <w:bCs/>
        </w:rPr>
        <w:lastRenderedPageBreak/>
        <w:t>На стоимость</w:t>
      </w:r>
      <w:r w:rsidR="000A414C">
        <w:rPr>
          <w:bCs/>
        </w:rPr>
        <w:t xml:space="preserve"> земельных участков, используемых для сельскохозяйственного производства</w:t>
      </w:r>
      <w:r>
        <w:rPr>
          <w:bCs/>
        </w:rPr>
        <w:t xml:space="preserve">, </w:t>
      </w:r>
      <w:r w:rsidR="000A414C">
        <w:rPr>
          <w:bCs/>
        </w:rPr>
        <w:t xml:space="preserve"> </w:t>
      </w:r>
      <w:r>
        <w:rPr>
          <w:bCs/>
        </w:rPr>
        <w:t xml:space="preserve">влияют также </w:t>
      </w:r>
      <w:r w:rsidR="00F61ED9">
        <w:rPr>
          <w:bCs/>
        </w:rPr>
        <w:t>свойства</w:t>
      </w:r>
      <w:r w:rsidR="007A7DE1">
        <w:rPr>
          <w:bCs/>
        </w:rPr>
        <w:t xml:space="preserve"> почв</w:t>
      </w:r>
      <w:r w:rsidR="00F61ED9">
        <w:rPr>
          <w:bCs/>
        </w:rPr>
        <w:t xml:space="preserve">, </w:t>
      </w:r>
      <w:proofErr w:type="spellStart"/>
      <w:r w:rsidR="007A7DE1">
        <w:rPr>
          <w:bCs/>
        </w:rPr>
        <w:t>коррелирующие</w:t>
      </w:r>
      <w:proofErr w:type="spellEnd"/>
      <w:r w:rsidR="007A7DE1">
        <w:rPr>
          <w:bCs/>
        </w:rPr>
        <w:t xml:space="preserve"> со средней многолетней урожайностью культур на этих почвах.</w:t>
      </w:r>
    </w:p>
    <w:p w:rsidR="007A7DE1" w:rsidRDefault="00F61ED9" w:rsidP="00076D9B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F61ED9">
        <w:rPr>
          <w:rFonts w:eastAsia="Times New Roman"/>
          <w:lang w:eastAsia="ru-RU"/>
        </w:rPr>
        <w:t xml:space="preserve">При оценке рабочих участков полей и массивов пашни, кроме основной балльной оценки плодородия почв, может быть использована система поправочных коэффициентов на местные </w:t>
      </w:r>
      <w:r w:rsidR="007A7DE1">
        <w:rPr>
          <w:rFonts w:eastAsia="Times New Roman"/>
          <w:lang w:eastAsia="ru-RU"/>
        </w:rPr>
        <w:t xml:space="preserve">технологические свойства угодий. </w:t>
      </w:r>
    </w:p>
    <w:p w:rsidR="007A7DE1" w:rsidRPr="007A7DE1" w:rsidRDefault="007A7DE1" w:rsidP="007A7DE1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7A7DE1">
        <w:rPr>
          <w:rFonts w:eastAsia="Times New Roman"/>
          <w:lang w:eastAsia="ru-RU"/>
        </w:rPr>
        <w:t xml:space="preserve">К технологическим свойствам сельскохозяйственных угодий относятся: энергоемкость почв; </w:t>
      </w:r>
      <w:proofErr w:type="spellStart"/>
      <w:r w:rsidRPr="007A7DE1">
        <w:rPr>
          <w:rFonts w:eastAsia="Times New Roman"/>
          <w:lang w:eastAsia="ru-RU"/>
        </w:rPr>
        <w:t>контурность</w:t>
      </w:r>
      <w:proofErr w:type="spellEnd"/>
      <w:r w:rsidRPr="007A7DE1">
        <w:rPr>
          <w:rFonts w:eastAsia="Times New Roman"/>
          <w:lang w:eastAsia="ru-RU"/>
        </w:rPr>
        <w:t xml:space="preserve"> полей (рабочих участков) — размер, конфигурация и их изрезанность препятствиями механизированной обработке; внутрихозяйственная удаленность полей; рельеф и каменистость угодий; высота над уровнем моря (для горных и предгорных зон). </w:t>
      </w:r>
    </w:p>
    <w:p w:rsidR="00A63EB0" w:rsidRPr="00076D9B" w:rsidRDefault="00076D9B" w:rsidP="00076D9B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076D9B">
        <w:rPr>
          <w:rFonts w:eastAsia="Times New Roman"/>
          <w:lang w:eastAsia="ru-RU"/>
        </w:rPr>
        <w:t xml:space="preserve">Кроме того, в качестве поправочных коэффициентов к основной оценке почв может быть учтено влияние степени </w:t>
      </w:r>
      <w:proofErr w:type="spellStart"/>
      <w:r w:rsidRPr="00076D9B">
        <w:rPr>
          <w:rFonts w:eastAsia="Times New Roman"/>
          <w:lang w:eastAsia="ru-RU"/>
        </w:rPr>
        <w:t>окультуренности</w:t>
      </w:r>
      <w:proofErr w:type="spellEnd"/>
      <w:r w:rsidRPr="00076D9B">
        <w:rPr>
          <w:rFonts w:eastAsia="Times New Roman"/>
          <w:lang w:eastAsia="ru-RU"/>
        </w:rPr>
        <w:t>, экспозиции склона, отрицательных свойств почв (</w:t>
      </w:r>
      <w:proofErr w:type="spellStart"/>
      <w:r w:rsidRPr="00076D9B">
        <w:rPr>
          <w:rFonts w:eastAsia="Times New Roman"/>
          <w:lang w:eastAsia="ru-RU"/>
        </w:rPr>
        <w:t>карбонатность</w:t>
      </w:r>
      <w:proofErr w:type="spellEnd"/>
      <w:r w:rsidRPr="00076D9B">
        <w:rPr>
          <w:rFonts w:eastAsia="Times New Roman"/>
          <w:lang w:eastAsia="ru-RU"/>
        </w:rPr>
        <w:t xml:space="preserve">, </w:t>
      </w:r>
      <w:proofErr w:type="spellStart"/>
      <w:r w:rsidRPr="00076D9B">
        <w:rPr>
          <w:rFonts w:eastAsia="Times New Roman"/>
          <w:lang w:eastAsia="ru-RU"/>
        </w:rPr>
        <w:t>солонцеватость</w:t>
      </w:r>
      <w:proofErr w:type="spellEnd"/>
      <w:r w:rsidRPr="00076D9B">
        <w:rPr>
          <w:rFonts w:eastAsia="Times New Roman"/>
          <w:lang w:eastAsia="ru-RU"/>
        </w:rPr>
        <w:t xml:space="preserve">, </w:t>
      </w:r>
      <w:proofErr w:type="spellStart"/>
      <w:r w:rsidRPr="00076D9B">
        <w:rPr>
          <w:rFonts w:eastAsia="Times New Roman"/>
          <w:lang w:eastAsia="ru-RU"/>
        </w:rPr>
        <w:t>оглеение</w:t>
      </w:r>
      <w:proofErr w:type="spellEnd"/>
      <w:r w:rsidRPr="00076D9B">
        <w:rPr>
          <w:rFonts w:eastAsia="Times New Roman"/>
          <w:lang w:eastAsia="ru-RU"/>
        </w:rPr>
        <w:t xml:space="preserve">, </w:t>
      </w:r>
      <w:proofErr w:type="spellStart"/>
      <w:r w:rsidRPr="00076D9B">
        <w:rPr>
          <w:rFonts w:eastAsia="Times New Roman"/>
          <w:lang w:eastAsia="ru-RU"/>
        </w:rPr>
        <w:t>эродированность</w:t>
      </w:r>
      <w:proofErr w:type="spellEnd"/>
      <w:r w:rsidR="007A7DE1">
        <w:t xml:space="preserve">, засоленность, </w:t>
      </w:r>
      <w:proofErr w:type="spellStart"/>
      <w:r w:rsidR="007A7DE1">
        <w:t>переувлажненность</w:t>
      </w:r>
      <w:proofErr w:type="spellEnd"/>
      <w:r w:rsidRPr="00076D9B">
        <w:rPr>
          <w:rFonts w:eastAsia="Times New Roman"/>
          <w:lang w:eastAsia="ru-RU"/>
        </w:rPr>
        <w:t>) и других признаков</w:t>
      </w:r>
      <w:r w:rsidR="00280F25" w:rsidRPr="00280F25">
        <w:rPr>
          <w:rFonts w:eastAsia="Times New Roman"/>
          <w:lang w:eastAsia="ru-RU"/>
        </w:rPr>
        <w:t xml:space="preserve"> </w:t>
      </w:r>
      <w:r w:rsidR="00280F25">
        <w:rPr>
          <w:rFonts w:eastAsia="Times New Roman"/>
          <w:lang w:eastAsia="ru-RU"/>
        </w:rPr>
        <w:t>[5]</w:t>
      </w:r>
      <w:r>
        <w:rPr>
          <w:rFonts w:eastAsia="Times New Roman"/>
          <w:lang w:eastAsia="ru-RU"/>
        </w:rPr>
        <w:t>.</w:t>
      </w:r>
    </w:p>
    <w:p w:rsidR="00076D9B" w:rsidRDefault="00076D9B"/>
    <w:p w:rsidR="00FF037B" w:rsidRDefault="00FF037B"/>
    <w:p w:rsidR="00FF037B" w:rsidRDefault="00FF037B" w:rsidP="003E4DFE">
      <w:pPr>
        <w:pBdr>
          <w:bottom w:val="dotted" w:sz="4" w:space="1" w:color="auto"/>
        </w:pBdr>
        <w:spacing w:line="240" w:lineRule="auto"/>
        <w:ind w:left="709"/>
      </w:pPr>
      <w:r>
        <w:t>СПИСОК ЛИТЕРАТУРЫ</w:t>
      </w:r>
    </w:p>
    <w:p w:rsidR="00FF037B" w:rsidRPr="00FF037B" w:rsidRDefault="00FF037B" w:rsidP="003E4DFE">
      <w:pPr>
        <w:numPr>
          <w:ilvl w:val="0"/>
          <w:numId w:val="5"/>
        </w:numPr>
        <w:tabs>
          <w:tab w:val="num" w:pos="1068"/>
        </w:tabs>
        <w:spacing w:line="240" w:lineRule="auto"/>
        <w:ind w:left="1066" w:hanging="357"/>
        <w:contextualSpacing/>
        <w:jc w:val="both"/>
        <w:rPr>
          <w:rFonts w:eastAsia="Calibri"/>
        </w:rPr>
      </w:pPr>
      <w:r w:rsidRPr="00FF037B">
        <w:rPr>
          <w:rFonts w:eastAsia="Calibri"/>
        </w:rPr>
        <w:t>Земельный кодекс Российской Федерации</w:t>
      </w:r>
      <w:proofErr w:type="gramStart"/>
      <w:r w:rsidRPr="00FF037B">
        <w:rPr>
          <w:rFonts w:eastAsia="Calibri"/>
        </w:rPr>
        <w:t xml:space="preserve"> :</w:t>
      </w:r>
      <w:proofErr w:type="gramEnd"/>
      <w:r w:rsidRPr="00FF037B">
        <w:rPr>
          <w:rFonts w:eastAsia="Calibri"/>
        </w:rPr>
        <w:t xml:space="preserve"> Официальный текст (в текущей редакции) // Информационно-правовой портал «Гарант» [Электронный документ]. - &lt;</w:t>
      </w:r>
      <w:r w:rsidRPr="00FF037B">
        <w:rPr>
          <w:rFonts w:eastAsia="Times New Roman"/>
          <w:szCs w:val="20"/>
          <w:lang w:eastAsia="ru-RU"/>
        </w:rPr>
        <w:t xml:space="preserve"> </w:t>
      </w:r>
      <w:r w:rsidRPr="00FF037B">
        <w:rPr>
          <w:rFonts w:eastAsia="Calibri"/>
        </w:rPr>
        <w:t xml:space="preserve">http://docs.cntd.ru/document/744100004&gt; (дата проверки – </w:t>
      </w:r>
      <w:r w:rsidR="00405366">
        <w:rPr>
          <w:rFonts w:eastAsia="Calibri"/>
        </w:rPr>
        <w:t>10.05.2017</w:t>
      </w:r>
      <w:r w:rsidRPr="00FF037B">
        <w:rPr>
          <w:rFonts w:eastAsia="Calibri"/>
        </w:rPr>
        <w:t>)</w:t>
      </w:r>
    </w:p>
    <w:p w:rsidR="00FF037B" w:rsidRPr="00405366" w:rsidRDefault="00FF037B" w:rsidP="003E4DFE">
      <w:pPr>
        <w:numPr>
          <w:ilvl w:val="0"/>
          <w:numId w:val="5"/>
        </w:numPr>
        <w:tabs>
          <w:tab w:val="num" w:pos="1068"/>
          <w:tab w:val="num" w:pos="1454"/>
        </w:tabs>
        <w:spacing w:line="240" w:lineRule="auto"/>
        <w:ind w:left="1066" w:hanging="357"/>
        <w:contextualSpacing/>
        <w:jc w:val="both"/>
        <w:rPr>
          <w:rFonts w:eastAsia="Times New Roman"/>
          <w:lang w:eastAsia="ru-RU"/>
        </w:rPr>
      </w:pPr>
      <w:r w:rsidRPr="00FF037B">
        <w:rPr>
          <w:rFonts w:eastAsia="Times New Roman"/>
          <w:lang w:eastAsia="ru-RU"/>
        </w:rPr>
        <w:t xml:space="preserve">Строительство на землях сельскохозяйственного назначения: </w:t>
      </w:r>
      <w:proofErr w:type="spellStart"/>
      <w:r w:rsidRPr="00FF037B">
        <w:rPr>
          <w:rFonts w:eastAsia="Times New Roman"/>
          <w:lang w:eastAsia="ru-RU"/>
        </w:rPr>
        <w:t>КФХ</w:t>
      </w:r>
      <w:proofErr w:type="spellEnd"/>
      <w:r w:rsidRPr="00FF037B">
        <w:rPr>
          <w:rFonts w:eastAsia="Times New Roman"/>
          <w:lang w:eastAsia="ru-RU"/>
        </w:rPr>
        <w:t xml:space="preserve">, полевые участки </w:t>
      </w:r>
      <w:proofErr w:type="spellStart"/>
      <w:r w:rsidRPr="00FF037B">
        <w:rPr>
          <w:rFonts w:eastAsia="Times New Roman"/>
          <w:lang w:eastAsia="ru-RU"/>
        </w:rPr>
        <w:t>ЛПХ</w:t>
      </w:r>
      <w:proofErr w:type="spellEnd"/>
      <w:r w:rsidRPr="00FF037B">
        <w:rPr>
          <w:rFonts w:eastAsia="Times New Roman"/>
          <w:lang w:eastAsia="ru-RU"/>
        </w:rPr>
        <w:t>, для сельхозпроизводства</w:t>
      </w:r>
      <w:r w:rsidRPr="00FF037B">
        <w:rPr>
          <w:rFonts w:eastAsia="Calibri"/>
        </w:rPr>
        <w:t xml:space="preserve"> (градостроительный регламент)</w:t>
      </w:r>
      <w:proofErr w:type="gramStart"/>
      <w:r w:rsidRPr="00FF037B">
        <w:rPr>
          <w:rFonts w:eastAsia="Calibri"/>
        </w:rPr>
        <w:t xml:space="preserve"> :</w:t>
      </w:r>
      <w:proofErr w:type="gramEnd"/>
      <w:r w:rsidRPr="00FF037B">
        <w:rPr>
          <w:rFonts w:eastAsia="Calibri"/>
        </w:rPr>
        <w:t xml:space="preserve"> Статья // </w:t>
      </w:r>
      <w:proofErr w:type="spellStart"/>
      <w:r w:rsidRPr="00FF037B">
        <w:rPr>
          <w:rFonts w:eastAsia="Calibri"/>
        </w:rPr>
        <w:t>Веб-сайт</w:t>
      </w:r>
      <w:proofErr w:type="spellEnd"/>
      <w:r w:rsidRPr="00FF037B">
        <w:rPr>
          <w:rFonts w:eastAsia="Calibri"/>
        </w:rPr>
        <w:t xml:space="preserve"> «Земельный вопрос» [Электронный документ]. - &lt; </w:t>
      </w:r>
      <w:r w:rsidRPr="00405366">
        <w:rPr>
          <w:rFonts w:eastAsia="Times New Roman"/>
          <w:lang w:eastAsia="ru-RU"/>
        </w:rPr>
        <w:t xml:space="preserve">https://www.zemvopros.ru/page_7813.htm&gt; (дата проверки – </w:t>
      </w:r>
      <w:r w:rsidR="00405366">
        <w:rPr>
          <w:rFonts w:eastAsia="Times New Roman"/>
          <w:lang w:eastAsia="ru-RU"/>
        </w:rPr>
        <w:t>10.05.2017</w:t>
      </w:r>
      <w:r w:rsidRPr="00405366">
        <w:rPr>
          <w:rFonts w:eastAsia="Times New Roman"/>
          <w:lang w:eastAsia="ru-RU"/>
        </w:rPr>
        <w:t>)</w:t>
      </w:r>
    </w:p>
    <w:p w:rsidR="00FF037B" w:rsidRPr="00405366" w:rsidRDefault="00FF037B" w:rsidP="00405366">
      <w:pPr>
        <w:numPr>
          <w:ilvl w:val="0"/>
          <w:numId w:val="5"/>
        </w:numPr>
        <w:tabs>
          <w:tab w:val="num" w:pos="1068"/>
          <w:tab w:val="num" w:pos="1454"/>
        </w:tabs>
        <w:spacing w:line="240" w:lineRule="auto"/>
        <w:ind w:left="1066" w:hanging="357"/>
        <w:contextualSpacing/>
        <w:jc w:val="both"/>
        <w:rPr>
          <w:rFonts w:eastAsia="Times New Roman"/>
          <w:lang w:eastAsia="ru-RU"/>
        </w:rPr>
      </w:pPr>
      <w:r w:rsidRPr="00405366">
        <w:rPr>
          <w:rFonts w:eastAsia="Times New Roman"/>
          <w:lang w:eastAsia="ru-RU"/>
        </w:rPr>
        <w:t>О состоянии и использовании земель в Российской Федерации в 2015 году</w:t>
      </w:r>
      <w:proofErr w:type="gramStart"/>
      <w:r w:rsidRPr="00405366">
        <w:rPr>
          <w:rFonts w:eastAsia="Times New Roman"/>
          <w:lang w:eastAsia="ru-RU"/>
        </w:rPr>
        <w:t xml:space="preserve"> :</w:t>
      </w:r>
      <w:proofErr w:type="gramEnd"/>
      <w:r w:rsidRPr="00405366">
        <w:rPr>
          <w:rFonts w:eastAsia="Times New Roman"/>
          <w:lang w:eastAsia="ru-RU"/>
        </w:rPr>
        <w:t xml:space="preserve"> Государственный (национальный доклад) // </w:t>
      </w:r>
      <w:proofErr w:type="spellStart"/>
      <w:r w:rsidRPr="00405366">
        <w:rPr>
          <w:rFonts w:eastAsia="Times New Roman"/>
          <w:lang w:eastAsia="ru-RU"/>
        </w:rPr>
        <w:t>Веб-портал</w:t>
      </w:r>
      <w:proofErr w:type="spellEnd"/>
      <w:r w:rsidRPr="00405366">
        <w:rPr>
          <w:rFonts w:eastAsia="Times New Roman"/>
          <w:lang w:eastAsia="ru-RU"/>
        </w:rPr>
        <w:t xml:space="preserve"> «Мой бизнес. Открытие и ведение бизнеса» [Электронный документ]. - &lt; http://my-biz.ru/prognozy-i-analitika-v-biznese/krizis-na-rynke-nedvizhimosti-2017&gt; (дата проверки – </w:t>
      </w:r>
      <w:r w:rsidR="00405366">
        <w:rPr>
          <w:rFonts w:eastAsia="Times New Roman"/>
          <w:lang w:eastAsia="ru-RU"/>
        </w:rPr>
        <w:t>10.05.2017</w:t>
      </w:r>
      <w:r w:rsidRPr="00405366">
        <w:rPr>
          <w:rFonts w:eastAsia="Times New Roman"/>
          <w:lang w:eastAsia="ru-RU"/>
        </w:rPr>
        <w:t>)</w:t>
      </w:r>
    </w:p>
    <w:p w:rsidR="00FF037B" w:rsidRPr="00FF037B" w:rsidRDefault="00FF037B" w:rsidP="003E4DFE">
      <w:pPr>
        <w:numPr>
          <w:ilvl w:val="0"/>
          <w:numId w:val="5"/>
        </w:numPr>
        <w:tabs>
          <w:tab w:val="num" w:pos="1068"/>
        </w:tabs>
        <w:spacing w:line="240" w:lineRule="auto"/>
        <w:ind w:left="1066" w:hanging="357"/>
        <w:contextualSpacing/>
        <w:jc w:val="both"/>
        <w:rPr>
          <w:rFonts w:eastAsia="Calibri"/>
        </w:rPr>
      </w:pPr>
      <w:r w:rsidRPr="00FF037B">
        <w:rPr>
          <w:rFonts w:eastAsia="Calibri"/>
        </w:rPr>
        <w:t>Градостроительный кодекс Российской Федерации</w:t>
      </w:r>
      <w:proofErr w:type="gramStart"/>
      <w:r w:rsidRPr="00FF037B">
        <w:rPr>
          <w:rFonts w:eastAsia="Calibri"/>
        </w:rPr>
        <w:t xml:space="preserve"> :</w:t>
      </w:r>
      <w:proofErr w:type="gramEnd"/>
      <w:r w:rsidRPr="00FF037B">
        <w:rPr>
          <w:rFonts w:eastAsia="Calibri"/>
        </w:rPr>
        <w:t xml:space="preserve"> Официальный текст (в текущей редакции) // Информационно-правовой портал «Гарант» [Электронный документ]. - &lt;</w:t>
      </w:r>
      <w:r w:rsidRPr="00FF037B">
        <w:rPr>
          <w:rFonts w:eastAsia="Times New Roman"/>
          <w:szCs w:val="20"/>
          <w:lang w:eastAsia="ru-RU"/>
        </w:rPr>
        <w:t xml:space="preserve"> </w:t>
      </w:r>
      <w:r w:rsidRPr="00FF037B">
        <w:rPr>
          <w:rFonts w:eastAsia="Calibri"/>
        </w:rPr>
        <w:t>http://docs.cntd.ru/document/901919338&gt; (</w:t>
      </w:r>
      <w:r>
        <w:t>д</w:t>
      </w:r>
      <w:r w:rsidRPr="00FF037B">
        <w:t xml:space="preserve">ата проверки – </w:t>
      </w:r>
      <w:r w:rsidR="00405366">
        <w:rPr>
          <w:rFonts w:eastAsia="Calibri"/>
        </w:rPr>
        <w:t>10.05.2017</w:t>
      </w:r>
      <w:r w:rsidRPr="00FF037B">
        <w:rPr>
          <w:rFonts w:eastAsia="Calibri"/>
        </w:rPr>
        <w:t>)</w:t>
      </w:r>
    </w:p>
    <w:p w:rsidR="00FF037B" w:rsidRPr="003E4DFE" w:rsidRDefault="003E4DFE" w:rsidP="003E4DFE">
      <w:pPr>
        <w:numPr>
          <w:ilvl w:val="0"/>
          <w:numId w:val="5"/>
        </w:numPr>
        <w:tabs>
          <w:tab w:val="num" w:pos="1068"/>
        </w:tabs>
        <w:spacing w:line="240" w:lineRule="auto"/>
        <w:ind w:left="1066" w:hanging="357"/>
        <w:contextualSpacing/>
        <w:jc w:val="both"/>
        <w:rPr>
          <w:rFonts w:eastAsia="Calibri"/>
        </w:rPr>
      </w:pPr>
      <w:r w:rsidRPr="003E4DFE">
        <w:rPr>
          <w:rFonts w:eastAsia="Calibri"/>
        </w:rPr>
        <w:t xml:space="preserve">А.А. Варламов – Земельный кадастр (оценка земель): Учебник – том 4, М.: </w:t>
      </w:r>
      <w:proofErr w:type="spellStart"/>
      <w:r w:rsidRPr="003E4DFE">
        <w:rPr>
          <w:rFonts w:eastAsia="Calibri"/>
        </w:rPr>
        <w:t>КолосС</w:t>
      </w:r>
      <w:proofErr w:type="spellEnd"/>
      <w:r w:rsidRPr="003E4DFE">
        <w:rPr>
          <w:rFonts w:eastAsia="Calibri"/>
        </w:rPr>
        <w:t xml:space="preserve">, 2006. – 463 </w:t>
      </w:r>
      <w:proofErr w:type="gramStart"/>
      <w:r w:rsidRPr="003E4DFE">
        <w:rPr>
          <w:rFonts w:eastAsia="Calibri"/>
        </w:rPr>
        <w:t>с</w:t>
      </w:r>
      <w:proofErr w:type="gramEnd"/>
      <w:r w:rsidRPr="003E4DFE">
        <w:rPr>
          <w:rFonts w:eastAsia="Calibri"/>
        </w:rPr>
        <w:t>.</w:t>
      </w:r>
    </w:p>
    <w:sectPr w:rsidR="00FF037B" w:rsidRPr="003E4DFE" w:rsidSect="005D001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D3" w:rsidRDefault="002D4BD3" w:rsidP="00FF037B">
      <w:pPr>
        <w:spacing w:line="240" w:lineRule="auto"/>
      </w:pPr>
      <w:r>
        <w:separator/>
      </w:r>
    </w:p>
  </w:endnote>
  <w:endnote w:type="continuationSeparator" w:id="0">
    <w:p w:rsidR="002D4BD3" w:rsidRDefault="002D4BD3" w:rsidP="00FF0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73" w:rsidRPr="00E85173" w:rsidRDefault="00E85173" w:rsidP="00E85173">
    <w:pPr>
      <w:tabs>
        <w:tab w:val="center" w:pos="4153"/>
        <w:tab w:val="right" w:pos="8306"/>
      </w:tabs>
      <w:spacing w:after="60" w:line="240" w:lineRule="auto"/>
      <w:jc w:val="both"/>
      <w:rPr>
        <w:rFonts w:asciiTheme="majorHAnsi" w:eastAsia="Times New Roman" w:hAnsiTheme="majorHAnsi"/>
        <w:b/>
        <w:i/>
        <w:color w:val="808080" w:themeColor="background1" w:themeShade="80"/>
        <w:sz w:val="20"/>
        <w:szCs w:val="20"/>
        <w:lang w:eastAsia="ru-RU"/>
      </w:rPr>
    </w:pPr>
    <w:r w:rsidRPr="00E85173">
      <w:rPr>
        <w:rFonts w:asciiTheme="majorHAnsi" w:eastAsia="Times New Roman" w:hAnsiTheme="majorHAnsi"/>
        <w:b/>
        <w:i/>
        <w:color w:val="808080" w:themeColor="background1" w:themeShade="80"/>
        <w:sz w:val="20"/>
        <w:szCs w:val="20"/>
        <w:lang w:eastAsia="ru-RU"/>
      </w:rPr>
      <w:t>© Профессиональная компания оценки и делового консультирования ООО «Перспектива», 201</w:t>
    </w:r>
    <w:r>
      <w:rPr>
        <w:rFonts w:asciiTheme="majorHAnsi" w:eastAsia="Times New Roman" w:hAnsiTheme="majorHAnsi"/>
        <w:b/>
        <w:i/>
        <w:color w:val="808080" w:themeColor="background1" w:themeShade="80"/>
        <w:sz w:val="20"/>
        <w:szCs w:val="20"/>
        <w:lang w:eastAsia="ru-RU"/>
      </w:rPr>
      <w:t>7</w:t>
    </w:r>
  </w:p>
  <w:p w:rsidR="00E85173" w:rsidRPr="00E85173" w:rsidRDefault="00E85173" w:rsidP="00E85173">
    <w:pPr>
      <w:pBdr>
        <w:top w:val="single" w:sz="4" w:space="1" w:color="auto"/>
      </w:pBdr>
      <w:tabs>
        <w:tab w:val="center" w:pos="4153"/>
        <w:tab w:val="right" w:pos="8306"/>
      </w:tabs>
      <w:spacing w:line="240" w:lineRule="auto"/>
      <w:ind w:right="283"/>
      <w:jc w:val="right"/>
      <w:rPr>
        <w:rFonts w:eastAsia="Times New Roman"/>
        <w:color w:val="000000" w:themeColor="text1"/>
        <w:sz w:val="18"/>
        <w:szCs w:val="18"/>
        <w:lang w:val="en-US" w:eastAsia="ru-RU"/>
      </w:rPr>
    </w:pPr>
    <w:proofErr w:type="gramStart"/>
    <w:r w:rsidRPr="00E85173">
      <w:rPr>
        <w:rFonts w:eastAsia="Times New Roman"/>
        <w:color w:val="000000" w:themeColor="text1"/>
        <w:sz w:val="18"/>
        <w:szCs w:val="18"/>
        <w:lang w:val="en-US" w:eastAsia="ru-RU"/>
      </w:rPr>
      <w:t>e-</w:t>
    </w:r>
    <w:proofErr w:type="gramEnd"/>
    <w:r w:rsidRPr="00E85173">
      <w:rPr>
        <w:rFonts w:eastAsia="Times New Roman"/>
        <w:color w:val="000000" w:themeColor="text1"/>
        <w:sz w:val="18"/>
        <w:szCs w:val="18"/>
        <w:lang w:val="en-US" w:eastAsia="ru-RU"/>
      </w:rPr>
      <w:t xml:space="preserve"> mail: perspective-ltd@valuator.pro</w:t>
    </w:r>
  </w:p>
  <w:p w:rsidR="00E85173" w:rsidRPr="00E85173" w:rsidRDefault="00E85173" w:rsidP="00E85173">
    <w:pPr>
      <w:tabs>
        <w:tab w:val="center" w:pos="4153"/>
        <w:tab w:val="right" w:pos="8306"/>
      </w:tabs>
      <w:spacing w:line="240" w:lineRule="auto"/>
      <w:ind w:right="283"/>
      <w:jc w:val="right"/>
      <w:rPr>
        <w:rFonts w:eastAsia="Times New Roman"/>
        <w:color w:val="000000" w:themeColor="text1"/>
        <w:sz w:val="18"/>
        <w:szCs w:val="18"/>
        <w:lang w:eastAsia="ru-RU"/>
      </w:rPr>
    </w:pPr>
    <w:r w:rsidRPr="00E85173">
      <w:rPr>
        <w:rFonts w:eastAsia="Times New Roman"/>
        <w:color w:val="000000" w:themeColor="text1"/>
        <w:sz w:val="18"/>
        <w:szCs w:val="18"/>
        <w:lang w:eastAsia="ru-RU"/>
      </w:rPr>
      <w:t>Тел.: +7 (495) 744-74-72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D3" w:rsidRDefault="002D4BD3" w:rsidP="00FF037B">
      <w:pPr>
        <w:spacing w:line="240" w:lineRule="auto"/>
      </w:pPr>
      <w:r>
        <w:separator/>
      </w:r>
    </w:p>
  </w:footnote>
  <w:footnote w:type="continuationSeparator" w:id="0">
    <w:p w:rsidR="002D4BD3" w:rsidRDefault="002D4BD3" w:rsidP="00FF03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73" w:rsidRDefault="00827404">
    <w:pPr>
      <w:pStyle w:val="a8"/>
    </w:pPr>
    <w:r>
      <w:rPr>
        <w:noProof/>
        <w:lang w:eastAsia="ru-RU"/>
      </w:rPr>
      <w:pict>
        <v:oval id="_x0000_s2049" style="position:absolute;margin-left:456.95pt;margin-top:23.6pt;width:19.35pt;height:18.4pt;z-index:251658240;mso-position-horizontal-relative:margin;mso-position-vertical-relative:top-margin-area;v-text-anchor:middle" o:allowincell="f" fillcolor="#365f91 [2404]" stroked="f">
          <v:textbox style="mso-next-textbox:#_x0000_s2049">
            <w:txbxContent>
              <w:p w:rsidR="00E85173" w:rsidRPr="00616CA4" w:rsidRDefault="00827404" w:rsidP="00E85173">
                <w:pPr>
                  <w:pStyle w:val="aa"/>
                  <w:jc w:val="center"/>
                  <w:rPr>
                    <w:b/>
                    <w:color w:val="FFFFFF" w:themeColor="background1"/>
                    <w:sz w:val="16"/>
                    <w:szCs w:val="16"/>
                  </w:rPr>
                </w:pPr>
                <w:r w:rsidRPr="00616CA4">
                  <w:rPr>
                    <w:sz w:val="16"/>
                    <w:szCs w:val="16"/>
                  </w:rPr>
                  <w:fldChar w:fldCharType="begin"/>
                </w:r>
                <w:r w:rsidR="00E85173" w:rsidRPr="00616CA4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616CA4">
                  <w:rPr>
                    <w:sz w:val="16"/>
                    <w:szCs w:val="16"/>
                  </w:rPr>
                  <w:fldChar w:fldCharType="separate"/>
                </w:r>
                <w:r w:rsidR="00405366" w:rsidRPr="00405366">
                  <w:rPr>
                    <w:b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616CA4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F68"/>
    <w:multiLevelType w:val="hybridMultilevel"/>
    <w:tmpl w:val="20802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B6482"/>
    <w:multiLevelType w:val="multilevel"/>
    <w:tmpl w:val="8EC8FD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3936"/>
        </w:tabs>
        <w:ind w:left="393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693133"/>
    <w:multiLevelType w:val="hybridMultilevel"/>
    <w:tmpl w:val="8174BFC4"/>
    <w:lvl w:ilvl="0" w:tplc="7602C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6FF3"/>
    <w:multiLevelType w:val="hybridMultilevel"/>
    <w:tmpl w:val="407AF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037B"/>
    <w:rsid w:val="00076D9B"/>
    <w:rsid w:val="000A414C"/>
    <w:rsid w:val="0010018B"/>
    <w:rsid w:val="00133221"/>
    <w:rsid w:val="00164FCD"/>
    <w:rsid w:val="0016674B"/>
    <w:rsid w:val="00180F6C"/>
    <w:rsid w:val="00183EDD"/>
    <w:rsid w:val="00190BED"/>
    <w:rsid w:val="00280F25"/>
    <w:rsid w:val="002D4BD3"/>
    <w:rsid w:val="003343EA"/>
    <w:rsid w:val="003B6760"/>
    <w:rsid w:val="003C19A7"/>
    <w:rsid w:val="003E4DFE"/>
    <w:rsid w:val="00405366"/>
    <w:rsid w:val="00441885"/>
    <w:rsid w:val="004450E9"/>
    <w:rsid w:val="004D05D2"/>
    <w:rsid w:val="005121C8"/>
    <w:rsid w:val="005D0012"/>
    <w:rsid w:val="00612F69"/>
    <w:rsid w:val="006422B5"/>
    <w:rsid w:val="00645F50"/>
    <w:rsid w:val="007A7DE1"/>
    <w:rsid w:val="00827404"/>
    <w:rsid w:val="008436AD"/>
    <w:rsid w:val="00856CBA"/>
    <w:rsid w:val="00873980"/>
    <w:rsid w:val="008D2411"/>
    <w:rsid w:val="009D3FF1"/>
    <w:rsid w:val="009E56F0"/>
    <w:rsid w:val="00A33555"/>
    <w:rsid w:val="00A63EB0"/>
    <w:rsid w:val="00BE3F1F"/>
    <w:rsid w:val="00C00C4C"/>
    <w:rsid w:val="00C041DA"/>
    <w:rsid w:val="00C33DEA"/>
    <w:rsid w:val="00C6379B"/>
    <w:rsid w:val="00D237A8"/>
    <w:rsid w:val="00DB4899"/>
    <w:rsid w:val="00DB701F"/>
    <w:rsid w:val="00DE6E95"/>
    <w:rsid w:val="00E3101A"/>
    <w:rsid w:val="00E85173"/>
    <w:rsid w:val="00F210C0"/>
    <w:rsid w:val="00F37A27"/>
    <w:rsid w:val="00F61ED9"/>
    <w:rsid w:val="00FA5313"/>
    <w:rsid w:val="00F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12"/>
  </w:style>
  <w:style w:type="paragraph" w:styleId="1">
    <w:name w:val="heading 1"/>
    <w:aliases w:val="Heading_eng 1,Head 1,Раздел,????????? 1"/>
    <w:basedOn w:val="a"/>
    <w:next w:val="a"/>
    <w:link w:val="10"/>
    <w:qFormat/>
    <w:rsid w:val="00FF037B"/>
    <w:pPr>
      <w:keepNext/>
      <w:numPr>
        <w:numId w:val="1"/>
      </w:numPr>
      <w:spacing w:before="120" w:after="120" w:line="240" w:lineRule="auto"/>
      <w:jc w:val="center"/>
      <w:outlineLvl w:val="0"/>
    </w:pPr>
    <w:rPr>
      <w:rFonts w:eastAsia="Times New Roman"/>
      <w:b/>
      <w:caps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037B"/>
    <w:pPr>
      <w:keepNext/>
      <w:numPr>
        <w:ilvl w:val="1"/>
        <w:numId w:val="1"/>
      </w:numPr>
      <w:spacing w:line="240" w:lineRule="auto"/>
      <w:jc w:val="center"/>
      <w:outlineLvl w:val="1"/>
    </w:pPr>
    <w:rPr>
      <w:rFonts w:eastAsia="Times New Roman"/>
      <w:b/>
      <w:sz w:val="22"/>
      <w:szCs w:val="20"/>
      <w:lang w:eastAsia="ru-RU"/>
    </w:rPr>
  </w:style>
  <w:style w:type="paragraph" w:styleId="3">
    <w:name w:val="heading 3"/>
    <w:aliases w:val="Заголовок 32,Заголовок 3 Знак Знак Знак,Заголовок 3 Знак Знак,h:3,h,3,list,Kop 3V,l3,CT,OdsKap3,OdsKap3Überschrift,h3,Section,Titre 31,t3.T3,Heading3,3heading,subhead,l31,32,l32,33,l33,34,l34,35,l35,36,l36,37,l37,38,l38,39,l,Naiaea,end,end 2"/>
    <w:basedOn w:val="a"/>
    <w:next w:val="a"/>
    <w:link w:val="30"/>
    <w:qFormat/>
    <w:rsid w:val="00FF037B"/>
    <w:pPr>
      <w:keepNext/>
      <w:numPr>
        <w:ilvl w:val="2"/>
        <w:numId w:val="1"/>
      </w:numPr>
      <w:spacing w:before="100" w:line="160" w:lineRule="atLeast"/>
      <w:jc w:val="center"/>
      <w:outlineLvl w:val="2"/>
    </w:pPr>
    <w:rPr>
      <w:rFonts w:eastAsia="Times New Roman"/>
      <w:b/>
      <w:snapToGrid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37B"/>
    <w:pPr>
      <w:keepNext/>
      <w:numPr>
        <w:ilvl w:val="3"/>
        <w:numId w:val="1"/>
      </w:numPr>
      <w:spacing w:line="220" w:lineRule="atLeast"/>
      <w:jc w:val="both"/>
      <w:outlineLvl w:val="3"/>
    </w:pPr>
    <w:rPr>
      <w:rFonts w:eastAsia="Times New Roman"/>
      <w:b/>
      <w:snapToGrid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037B"/>
    <w:pPr>
      <w:keepNext/>
      <w:numPr>
        <w:ilvl w:val="4"/>
        <w:numId w:val="1"/>
      </w:numPr>
      <w:spacing w:before="180" w:line="140" w:lineRule="atLeast"/>
      <w:jc w:val="center"/>
      <w:outlineLvl w:val="4"/>
    </w:pPr>
    <w:rPr>
      <w:rFonts w:eastAsia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037B"/>
    <w:pPr>
      <w:keepNext/>
      <w:numPr>
        <w:ilvl w:val="5"/>
        <w:numId w:val="1"/>
      </w:numPr>
      <w:spacing w:line="120" w:lineRule="atLeast"/>
      <w:jc w:val="center"/>
      <w:outlineLvl w:val="5"/>
    </w:pPr>
    <w:rPr>
      <w:rFonts w:eastAsia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F037B"/>
    <w:pPr>
      <w:keepNext/>
      <w:numPr>
        <w:ilvl w:val="6"/>
        <w:numId w:val="1"/>
      </w:numPr>
      <w:spacing w:line="400" w:lineRule="atLeast"/>
      <w:jc w:val="both"/>
      <w:outlineLvl w:val="6"/>
    </w:pPr>
    <w:rPr>
      <w:rFonts w:eastAsia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F037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F037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erspectiobasic">
    <w:name w:val="perspectio_basic"/>
    <w:basedOn w:val="a1"/>
    <w:uiPriority w:val="99"/>
    <w:rsid w:val="00F37A27"/>
    <w:pPr>
      <w:spacing w:line="240" w:lineRule="auto"/>
    </w:pPr>
    <w:rPr>
      <w:rFonts w:eastAsia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</w:style>
  <w:style w:type="table" w:styleId="a3">
    <w:name w:val="Table Grid"/>
    <w:aliases w:val="Invest2"/>
    <w:basedOn w:val="a1"/>
    <w:rsid w:val="003343EA"/>
    <w:pPr>
      <w:spacing w:line="240" w:lineRule="auto"/>
      <w:ind w:left="567"/>
    </w:pPr>
    <w:rPr>
      <w:rFonts w:ascii="Verdana" w:eastAsia="Times New Roman" w:hAnsi="Verdana"/>
      <w:sz w:val="16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hAnsi="Verdana"/>
        <w:color w:val="000000" w:themeColor="text1"/>
        <w:sz w:val="16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a4">
    <w:name w:val="Инвест (новый)"/>
    <w:basedOn w:val="a1"/>
    <w:uiPriority w:val="99"/>
    <w:qFormat/>
    <w:rsid w:val="00645F50"/>
    <w:pPr>
      <w:spacing w:line="240" w:lineRule="auto"/>
      <w:jc w:val="center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Verdana" w:hAnsi="Verdana"/>
        <w:sz w:val="16"/>
      </w:rPr>
      <w:tblPr/>
      <w:tcPr>
        <w:shd w:val="clear" w:color="auto" w:fill="B2B2B2"/>
        <w:vAlign w:val="center"/>
      </w:tcPr>
    </w:tblStylePr>
  </w:style>
  <w:style w:type="table" w:customStyle="1" w:styleId="perspectiobasic1">
    <w:name w:val="perspectio_basic1"/>
    <w:basedOn w:val="a1"/>
    <w:uiPriority w:val="99"/>
    <w:rsid w:val="00164FCD"/>
    <w:pPr>
      <w:spacing w:line="240" w:lineRule="auto"/>
    </w:pPr>
    <w:rPr>
      <w:rFonts w:eastAsia="Times New Roman"/>
      <w:sz w:val="20"/>
      <w:szCs w:val="20"/>
      <w:lang w:eastAsia="ru-RU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FF037B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037B"/>
    <w:rPr>
      <w:sz w:val="20"/>
      <w:szCs w:val="20"/>
    </w:rPr>
  </w:style>
  <w:style w:type="character" w:customStyle="1" w:styleId="10">
    <w:name w:val="Заголовок 1 Знак"/>
    <w:aliases w:val="Heading_eng 1 Знак,Head 1 Знак,Раздел Знак,????????? 1 Знак"/>
    <w:basedOn w:val="a0"/>
    <w:link w:val="1"/>
    <w:rsid w:val="00FF037B"/>
    <w:rPr>
      <w:rFonts w:eastAsia="Times New Roman"/>
      <w:b/>
      <w:caps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37B"/>
    <w:rPr>
      <w:rFonts w:eastAsia="Times New Roman"/>
      <w:b/>
      <w:sz w:val="22"/>
      <w:szCs w:val="20"/>
      <w:lang w:eastAsia="ru-RU"/>
    </w:rPr>
  </w:style>
  <w:style w:type="character" w:customStyle="1" w:styleId="30">
    <w:name w:val="Заголовок 3 Знак"/>
    <w:aliases w:val="Заголовок 32 Знак,Заголовок 3 Знак Знак Знак Знак,Заголовок 3 Знак Знак Знак1,h:3 Знак,h Знак,3 Знак,list Знак,Kop 3V Знак,l3 Знак,CT Знак,OdsKap3 Знак,OdsKap3Überschrift Знак,h3 Знак,Section Знак,Titre 31 Знак,t3.T3 Знак,Heading3 Знак"/>
    <w:basedOn w:val="a0"/>
    <w:link w:val="3"/>
    <w:rsid w:val="00FF037B"/>
    <w:rPr>
      <w:rFonts w:eastAsia="Times New Roman"/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037B"/>
    <w:rPr>
      <w:rFonts w:eastAsia="Times New Roman"/>
      <w:b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037B"/>
    <w:rPr>
      <w:rFonts w:eastAsia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037B"/>
    <w:rPr>
      <w:rFonts w:eastAsia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037B"/>
    <w:rPr>
      <w:rFonts w:eastAsia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F037B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037B"/>
    <w:rPr>
      <w:rFonts w:ascii="Arial" w:eastAsia="Times New Roman" w:hAnsi="Arial"/>
      <w:b/>
      <w:i/>
      <w:sz w:val="18"/>
      <w:szCs w:val="20"/>
      <w:lang w:eastAsia="ru-RU"/>
    </w:rPr>
  </w:style>
  <w:style w:type="character" w:styleId="a7">
    <w:name w:val="footnote reference"/>
    <w:aliases w:val="Знак сноски 1,Знак сноски-FN,ftref,сноска,fr,Used by Word for Help footnote symbols,Ciae niinee-FN,Referencia nota al pie,Текст сноски Знак2 Знак Знак1,Текст сноски Знак Знак Знак Знак Знак Знак Знак1,Зна Знак,СНОСК,Table_Footnote_last Знак1"/>
    <w:basedOn w:val="a0"/>
    <w:qFormat/>
    <w:rsid w:val="00FF037B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E8517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5173"/>
  </w:style>
  <w:style w:type="paragraph" w:styleId="aa">
    <w:name w:val="footer"/>
    <w:basedOn w:val="a"/>
    <w:link w:val="ab"/>
    <w:uiPriority w:val="99"/>
    <w:unhideWhenUsed/>
    <w:rsid w:val="00E8517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perspectio</dc:creator>
  <cp:lastModifiedBy>perspectio</cp:lastModifiedBy>
  <cp:revision>9</cp:revision>
  <dcterms:created xsi:type="dcterms:W3CDTF">2017-04-23T15:11:00Z</dcterms:created>
  <dcterms:modified xsi:type="dcterms:W3CDTF">2017-06-18T15:58:00Z</dcterms:modified>
</cp:coreProperties>
</file>